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仿宋_GB2312" w:hAnsi="华文中宋" w:eastAsia="仿宋_GB2312"/>
          <w:sz w:val="32"/>
          <w:szCs w:val="32"/>
        </w:rPr>
      </w:pPr>
    </w:p>
    <w:p>
      <w:pPr>
        <w:spacing w:line="580" w:lineRule="exact"/>
        <w:jc w:val="center"/>
        <w:rPr>
          <w:rFonts w:ascii="仿宋_GB2312" w:hAnsi="华文中宋" w:eastAsia="仿宋_GB2312"/>
          <w:sz w:val="32"/>
          <w:szCs w:val="32"/>
        </w:rPr>
      </w:pPr>
    </w:p>
    <w:p>
      <w:pPr>
        <w:spacing w:line="580" w:lineRule="exact"/>
        <w:jc w:val="both"/>
        <w:rPr>
          <w:rFonts w:ascii="仿宋_GB2312" w:hAnsi="华文中宋" w:eastAsia="仿宋_GB2312"/>
          <w:sz w:val="32"/>
          <w:szCs w:val="32"/>
        </w:rPr>
      </w:pPr>
    </w:p>
    <w:p>
      <w:pPr>
        <w:spacing w:line="580" w:lineRule="exact"/>
        <w:jc w:val="center"/>
        <w:rPr>
          <w:rFonts w:ascii="仿宋_GB2312" w:hAnsi="华文中宋" w:eastAsia="仿宋_GB2312"/>
          <w:sz w:val="32"/>
          <w:szCs w:val="32"/>
        </w:rPr>
      </w:pPr>
      <w:r>
        <w:rPr>
          <w:color w:val="000000"/>
        </w:rPr>
        <w:pict>
          <v:shape id="AutoShape 7" o:spid="_x0000_s1026" o:spt="136" type="#_x0000_t136" style="position:absolute;left:0pt;margin-left:0.35pt;margin-top:0.25pt;height:45.75pt;width:425.25pt;z-index:251663360;mso-width-relative:page;mso-height-relative:page;" fillcolor="#FF0000" filled="t" stroked="f" coordsize="21600,21600" adj="10800">
            <v:path/>
            <v:fill on="t" color2="#FFFFFF" focussize="0,0"/>
            <v:stroke on="f"/>
            <v:imagedata o:title=""/>
            <o:lock v:ext="edit" aspectratio="f"/>
            <v:textpath on="t" fitshape="t" fitpath="t" trim="t" xscale="f" string="莆田市应急管理局文件" style="font-family:方正小标宋简体;font-size:36pt;v-text-align:center;"/>
          </v:shape>
        </w:pict>
      </w:r>
    </w:p>
    <w:p>
      <w:pPr>
        <w:spacing w:line="580" w:lineRule="exact"/>
        <w:jc w:val="center"/>
        <w:rPr>
          <w:rFonts w:hint="eastAsia" w:ascii="仿宋" w:hAnsi="仿宋" w:eastAsia="仿宋"/>
          <w:sz w:val="32"/>
          <w:szCs w:val="32"/>
          <w:lang w:eastAsia="zh-CN"/>
        </w:rPr>
      </w:pPr>
    </w:p>
    <w:p>
      <w:pPr>
        <w:spacing w:line="580" w:lineRule="exact"/>
        <w:jc w:val="center"/>
        <w:rPr>
          <w:rFonts w:hint="eastAsia" w:ascii="仿宋" w:hAnsi="仿宋" w:eastAsia="仿宋"/>
          <w:color w:val="auto"/>
          <w:sz w:val="32"/>
          <w:szCs w:val="32"/>
          <w:lang w:eastAsia="zh-CN"/>
        </w:rPr>
      </w:pPr>
    </w:p>
    <w:p>
      <w:pPr>
        <w:spacing w:line="580" w:lineRule="exact"/>
        <w:jc w:val="center"/>
        <w:rPr>
          <w:rFonts w:hint="eastAsia" w:ascii="仿宋_GB2312" w:hAnsi="华文中宋" w:eastAsia="仿宋_GB2312"/>
          <w:color w:val="auto"/>
        </w:rPr>
      </w:pPr>
      <w:r>
        <w:rPr>
          <w:rFonts w:hint="eastAsia" w:ascii="仿宋" w:hAnsi="仿宋" w:eastAsia="仿宋"/>
          <w:color w:val="auto"/>
          <w:sz w:val="32"/>
          <w:szCs w:val="32"/>
          <w:lang w:eastAsia="zh-CN"/>
        </w:rPr>
        <w:t>莆应急</w:t>
      </w:r>
      <w:r>
        <w:rPr>
          <w:rFonts w:hint="eastAsia" w:ascii="仿宋" w:hAnsi="仿宋" w:eastAsia="仿宋"/>
          <w:color w:val="auto"/>
          <w:sz w:val="32"/>
          <w:szCs w:val="32"/>
        </w:rPr>
        <w:t>〔</w:t>
      </w: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w:t>
      </w:r>
      <w:r>
        <w:rPr>
          <w:rFonts w:hint="eastAsia" w:ascii="仿宋" w:hAnsi="仿宋" w:eastAsia="仿宋"/>
          <w:color w:val="auto"/>
          <w:sz w:val="32"/>
          <w:szCs w:val="32"/>
          <w:lang w:val="en-US" w:eastAsia="zh-CN"/>
        </w:rPr>
        <w:t>34</w:t>
      </w:r>
      <w:r>
        <w:rPr>
          <w:rFonts w:hint="eastAsia" w:ascii="仿宋" w:hAnsi="仿宋" w:eastAsia="仿宋"/>
          <w:color w:val="auto"/>
          <w:sz w:val="32"/>
          <w:szCs w:val="32"/>
        </w:rPr>
        <w:t>号</w:t>
      </w:r>
      <w:bookmarkStart w:id="1" w:name="_GoBack"/>
      <w:bookmarkEnd w:id="1"/>
    </w:p>
    <w:p>
      <w:pPr>
        <w:spacing w:line="540" w:lineRule="exact"/>
        <w:jc w:val="center"/>
        <w:rPr>
          <w:rFonts w:hint="eastAsia" w:ascii="方正小标宋简体" w:hAnsi="方正小标宋简体" w:eastAsia="方正小标宋简体" w:cs="方正小标宋简体"/>
          <w:color w:val="auto"/>
          <w:sz w:val="44"/>
          <w:szCs w:val="44"/>
          <w:lang w:eastAsia="zh-CN"/>
        </w:rPr>
      </w:pPr>
      <w:bookmarkStart w:id="0" w:name="hx"/>
      <w:r>
        <w:rPr>
          <w:rFonts w:hint="eastAsia"/>
          <w:b w:val="0"/>
          <w:bCs w:val="0"/>
          <w:color w:val="auto"/>
        </w:rPr>
        <mc:AlternateContent>
          <mc:Choice Requires="wps">
            <w:drawing>
              <wp:anchor distT="0" distB="0" distL="114300" distR="114300" simplePos="0" relativeHeight="251664384" behindDoc="0" locked="0" layoutInCell="1" allowOverlap="1">
                <wp:simplePos x="0" y="0"/>
                <wp:positionH relativeFrom="column">
                  <wp:posOffset>-161925</wp:posOffset>
                </wp:positionH>
                <wp:positionV relativeFrom="paragraph">
                  <wp:posOffset>101600</wp:posOffset>
                </wp:positionV>
                <wp:extent cx="5598160" cy="0"/>
                <wp:effectExtent l="0" t="6350" r="10160" b="24130"/>
                <wp:wrapNone/>
                <wp:docPr id="4" name="直接连接符 4"/>
                <wp:cNvGraphicFramePr/>
                <a:graphic xmlns:a="http://schemas.openxmlformats.org/drawingml/2006/main">
                  <a:graphicData uri="http://schemas.microsoft.com/office/word/2010/wordprocessingShape">
                    <wps:wsp>
                      <wps:cNvCnPr/>
                      <wps:spPr>
                        <a:xfrm>
                          <a:off x="0" y="0"/>
                          <a:ext cx="559816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75pt;margin-top:8pt;height:0pt;width:440.8pt;z-index:251664384;mso-width-relative:page;mso-height-relative:page;" filled="f" stroked="t" coordsize="21600,21600" o:gfxdata="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Gmv1P2QAAAAkBAAAPAAAAAAAAAAEAIAAAACIAAABkcnMvZG93bnJl&#10;di54bWxQSwECFAAUAAAACACHTuJAk+UAL/wBAADzAwAADgAAAAAAAAABACAAAAAoAQAAZHJzL2Uy&#10;b0RvYy54bWxQSwUGAAAAAAYABgBZAQAAlgUAAAAA&#10;">
                <v:fill on="f" focussize="0,0"/>
                <v:stroke weight="3pt" color="#FF0000" joinstyle="round"/>
                <v:imagedata o:title=""/>
                <o:lock v:ext="edit" aspectratio="f"/>
              </v:line>
            </w:pict>
          </mc:Fallback>
        </mc:AlternateContent>
      </w:r>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b w:val="0"/>
          <w:bCs w:val="0"/>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莆田市应急管理局关于印发</w:t>
      </w:r>
      <w:r>
        <w:rPr>
          <w:rFonts w:hint="eastAsia" w:ascii="方正小标宋简体" w:hAnsi="方正小标宋简体" w:eastAsia="方正小标宋简体" w:cs="方正小标宋简体"/>
          <w:b w:val="0"/>
          <w:bCs w:val="0"/>
          <w:sz w:val="44"/>
          <w:szCs w:val="44"/>
          <w:lang w:val="en-US" w:eastAsia="zh-CN"/>
        </w:rPr>
        <w:t>2022年普法依法治理工作要点与普法责任清单</w:t>
      </w:r>
      <w:r>
        <w:rPr>
          <w:rFonts w:hint="eastAsia" w:ascii="方正小标宋简体" w:hAnsi="方正小标宋简体" w:eastAsia="方正小标宋简体" w:cs="方正小标宋简体"/>
          <w:b w:val="0"/>
          <w:bCs w:val="0"/>
          <w:sz w:val="44"/>
          <w:szCs w:val="44"/>
          <w:lang w:eastAsia="zh-CN"/>
        </w:rPr>
        <w:t>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方正小标宋简体" w:eastAsia="仿宋_GB2312" w:cs="仿宋_GB2312"/>
          <w:color w:val="333333"/>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局机关各科室、直属事业单位：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根据《中共莆田市委全面依法治市委员会守法普法协调小组关于印发〈2022年莆田市普法依法治理工作要点〉的通知》（莆法普组〔2022〕1号）文件精神，结合我局工作实际，制定《2022年普法依法治理工作要点与普法责任清单》，现印发给你们，请认真贯彻执行。</w:t>
      </w:r>
    </w:p>
    <w:p>
      <w:pPr>
        <w:keepNext w:val="0"/>
        <w:keepLines w:val="0"/>
        <w:pageBreakBefore w:val="0"/>
        <w:kinsoku/>
        <w:overflowPunct/>
        <w:topLinePunct w:val="0"/>
        <w:autoSpaceDE/>
        <w:autoSpaceDN/>
        <w:bidi w:val="0"/>
        <w:adjustRightInd/>
        <w:snapToGrid/>
        <w:spacing w:line="560" w:lineRule="exact"/>
        <w:textAlignment w:val="auto"/>
        <w:rPr>
          <w:rFonts w:hint="eastAsi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color w:val="333333"/>
          <w:kern w:val="0"/>
          <w:sz w:val="32"/>
          <w:szCs w:val="32"/>
          <w:lang w:val="en-US" w:eastAsia="zh-CN" w:bidi="ar"/>
        </w:rPr>
        <w:t xml:space="preserve">莆田市应急管理局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仿宋_GB2312" w:hAnsi="仿宋_GB2312" w:eastAsia="仿宋_GB2312" w:cs="仿宋_GB2312"/>
          <w:lang w:val="en-US"/>
        </w:rPr>
      </w:pPr>
      <w:r>
        <w:rPr>
          <w:rFonts w:hint="eastAsia" w:ascii="仿宋_GB2312" w:hAnsi="仿宋_GB2312" w:eastAsia="仿宋_GB2312" w:cs="仿宋_GB2312"/>
          <w:color w:val="333333"/>
          <w:kern w:val="0"/>
          <w:sz w:val="32"/>
          <w:szCs w:val="32"/>
          <w:lang w:val="en-US" w:eastAsia="zh-CN" w:bidi="ar"/>
        </w:rPr>
        <w:t xml:space="preserve"> 2022年5月13日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简体" w:hAnsi="方正小标宋简体" w:eastAsia="方正小标宋简体" w:cs="方正小标宋简体"/>
          <w:b w:val="0"/>
          <w:bCs w:val="0"/>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2</w:t>
      </w:r>
      <w:r>
        <w:rPr>
          <w:rFonts w:hint="eastAsia" w:ascii="方正小标宋简体" w:hAnsi="方正小标宋简体" w:eastAsia="方正小标宋简体" w:cs="方正小标宋简体"/>
          <w:b w:val="0"/>
          <w:bCs w:val="0"/>
          <w:sz w:val="44"/>
          <w:szCs w:val="44"/>
          <w:lang w:eastAsia="zh-CN"/>
        </w:rPr>
        <w:t>年普法依法治理工作要点</w:t>
      </w:r>
    </w:p>
    <w:p>
      <w:pPr>
        <w:keepNext w:val="0"/>
        <w:keepLines w:val="0"/>
        <w:pageBreakBefore w:val="0"/>
        <w:kinsoku/>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left"/>
        <w:textAlignment w:val="auto"/>
        <w:rPr>
          <w:rFonts w:ascii="仿宋_GB2312" w:hAnsi="宋体" w:eastAsia="仿宋_GB2312" w:cs="仿宋_GB2312"/>
          <w:i w:val="0"/>
          <w:iCs w:val="0"/>
          <w:caps w:val="0"/>
          <w:color w:val="333333"/>
          <w:spacing w:val="0"/>
          <w:sz w:val="32"/>
          <w:szCs w:val="32"/>
          <w:shd w:val="clear" w:fill="FFFFFF"/>
        </w:rPr>
      </w:pPr>
      <w:r>
        <w:rPr>
          <w:rFonts w:ascii="仿宋_GB2312" w:hAnsi="宋体" w:eastAsia="仿宋_GB2312" w:cs="仿宋_GB2312"/>
          <w:i w:val="0"/>
          <w:iCs w:val="0"/>
          <w:caps w:val="0"/>
          <w:color w:val="333333"/>
          <w:spacing w:val="0"/>
          <w:sz w:val="32"/>
          <w:szCs w:val="32"/>
          <w:shd w:val="clear" w:fill="FFFFFF"/>
        </w:rPr>
        <w:t>2022年是进入全面建设社会主义现代化国家、向第二个百年奋斗目标进军新征程的重要一年，也是深入实施“八五”普法的关键一年。202</w:t>
      </w:r>
      <w:r>
        <w:rPr>
          <w:rFonts w:hint="eastAsia" w:ascii="仿宋_GB2312" w:hAnsi="宋体" w:eastAsia="仿宋_GB2312" w:cs="仿宋_GB2312"/>
          <w:i w:val="0"/>
          <w:iCs w:val="0"/>
          <w:caps w:val="0"/>
          <w:color w:val="333333"/>
          <w:spacing w:val="0"/>
          <w:sz w:val="32"/>
          <w:szCs w:val="32"/>
          <w:shd w:val="clear" w:fill="FFFFFF"/>
          <w:lang w:val="en-US" w:eastAsia="zh-CN"/>
        </w:rPr>
        <w:t>2</w:t>
      </w:r>
      <w:r>
        <w:rPr>
          <w:rFonts w:hint="eastAsia" w:ascii="仿宋_GB2312" w:hAnsi="宋体" w:eastAsia="仿宋_GB2312" w:cs="仿宋_GB2312"/>
          <w:i w:val="0"/>
          <w:iCs w:val="0"/>
          <w:caps w:val="0"/>
          <w:color w:val="333333"/>
          <w:spacing w:val="0"/>
          <w:sz w:val="32"/>
          <w:szCs w:val="32"/>
          <w:shd w:val="clear" w:fill="FFFFFF"/>
        </w:rPr>
        <w:t>年全</w:t>
      </w:r>
      <w:r>
        <w:rPr>
          <w:rFonts w:hint="eastAsia" w:ascii="仿宋_GB2312" w:hAnsi="宋体" w:eastAsia="仿宋_GB2312" w:cs="仿宋_GB2312"/>
          <w:i w:val="0"/>
          <w:iCs w:val="0"/>
          <w:caps w:val="0"/>
          <w:color w:val="333333"/>
          <w:spacing w:val="0"/>
          <w:sz w:val="32"/>
          <w:szCs w:val="32"/>
          <w:shd w:val="clear" w:fill="FFFFFF"/>
          <w:lang w:eastAsia="zh-CN"/>
        </w:rPr>
        <w:t>局</w:t>
      </w:r>
      <w:r>
        <w:rPr>
          <w:rFonts w:hint="eastAsia" w:ascii="仿宋_GB2312" w:hAnsi="宋体" w:eastAsia="仿宋_GB2312" w:cs="仿宋_GB2312"/>
          <w:i w:val="0"/>
          <w:iCs w:val="0"/>
          <w:caps w:val="0"/>
          <w:color w:val="333333"/>
          <w:spacing w:val="0"/>
          <w:sz w:val="32"/>
          <w:szCs w:val="32"/>
          <w:shd w:val="clear" w:fill="FFFFFF"/>
        </w:rPr>
        <w:t>普法依法治理工作的总体要求是：</w:t>
      </w:r>
      <w:r>
        <w:rPr>
          <w:rFonts w:ascii="仿宋_GB2312" w:hAnsi="宋体" w:eastAsia="仿宋_GB2312" w:cs="仿宋_GB2312"/>
          <w:i w:val="0"/>
          <w:iCs w:val="0"/>
          <w:caps w:val="0"/>
          <w:color w:val="333333"/>
          <w:spacing w:val="0"/>
          <w:sz w:val="32"/>
          <w:szCs w:val="32"/>
          <w:shd w:val="clear" w:fill="FFFFFF"/>
          <w:lang w:val="en-US" w:eastAsia="zh-CN"/>
        </w:rPr>
        <w:t>坚持以习近平新时代中国特色社会主义思想为</w:t>
      </w:r>
      <w:r>
        <w:rPr>
          <w:rFonts w:hint="eastAsia" w:ascii="仿宋_GB2312" w:hAnsi="宋体" w:eastAsia="仿宋_GB2312" w:cs="仿宋_GB2312"/>
          <w:i w:val="0"/>
          <w:iCs w:val="0"/>
          <w:caps w:val="0"/>
          <w:color w:val="333333"/>
          <w:spacing w:val="0"/>
          <w:sz w:val="32"/>
          <w:szCs w:val="32"/>
          <w:shd w:val="clear" w:fill="FFFFFF"/>
          <w:lang w:val="en-US" w:eastAsia="zh-CN"/>
        </w:rPr>
        <w:t>指导，深入学习宣传贯彻习近平法治思想，全面贯彻落实党的十九大和十九届历次全会精神，深刻领悟“两个确立”的决定性意义，增强“四个意识”、坚定“四个自信”、做到“两个维护”，</w:t>
      </w:r>
      <w:r>
        <w:rPr>
          <w:rFonts w:ascii="仿宋_GB2312" w:hAnsi="宋体" w:eastAsia="仿宋_GB2312" w:cs="仿宋_GB2312"/>
          <w:i w:val="0"/>
          <w:iCs w:val="0"/>
          <w:caps w:val="0"/>
          <w:color w:val="333333"/>
          <w:spacing w:val="0"/>
          <w:sz w:val="32"/>
          <w:szCs w:val="32"/>
          <w:shd w:val="clear" w:fill="FFFFFF"/>
        </w:rPr>
        <w:t>坚持党的全面领导，坚持以人民为中心，坚持围绕中心、服务大局，坚持稳字当头、稳中求进工作总基调，弘扬伟大建党精神，紧紧围绕迎接、宣传、贯彻党的二十大这条主线</w:t>
      </w:r>
      <w:r>
        <w:rPr>
          <w:rFonts w:hint="eastAsia" w:ascii="仿宋_GB2312" w:hAnsi="宋体" w:eastAsia="仿宋_GB2312" w:cs="仿宋_GB2312"/>
          <w:i w:val="0"/>
          <w:iCs w:val="0"/>
          <w:caps w:val="0"/>
          <w:color w:val="333333"/>
          <w:spacing w:val="0"/>
          <w:sz w:val="32"/>
          <w:szCs w:val="32"/>
          <w:shd w:val="clear" w:fill="FFFFFF"/>
          <w:lang w:eastAsia="zh-CN"/>
        </w:rPr>
        <w:t>，</w:t>
      </w:r>
      <w:r>
        <w:rPr>
          <w:rFonts w:ascii="仿宋_GB2312" w:hAnsi="宋体" w:eastAsia="仿宋_GB2312" w:cs="仿宋_GB2312"/>
          <w:i w:val="0"/>
          <w:iCs w:val="0"/>
          <w:caps w:val="0"/>
          <w:color w:val="333333"/>
          <w:spacing w:val="0"/>
          <w:sz w:val="32"/>
          <w:szCs w:val="32"/>
          <w:shd w:val="clear" w:fill="FFFFFF"/>
        </w:rPr>
        <w:t>认真</w:t>
      </w:r>
      <w:r>
        <w:rPr>
          <w:rFonts w:hint="eastAsia" w:ascii="仿宋_GB2312" w:hAnsi="宋体" w:eastAsia="仿宋_GB2312" w:cs="仿宋_GB2312"/>
          <w:i w:val="0"/>
          <w:iCs w:val="0"/>
          <w:caps w:val="0"/>
          <w:color w:val="333333"/>
          <w:spacing w:val="0"/>
          <w:sz w:val="32"/>
          <w:szCs w:val="32"/>
          <w:shd w:val="clear" w:fill="FFFFFF"/>
        </w:rPr>
        <w:t>落实省委、市委工作要求，</w:t>
      </w:r>
      <w:r>
        <w:rPr>
          <w:rFonts w:hint="eastAsia" w:ascii="仿宋_GB2312" w:hAnsi="宋体" w:eastAsia="仿宋_GB2312" w:cs="仿宋_GB2312"/>
          <w:i w:val="0"/>
          <w:iCs w:val="0"/>
          <w:caps w:val="0"/>
          <w:color w:val="333333"/>
          <w:spacing w:val="0"/>
          <w:sz w:val="32"/>
          <w:szCs w:val="32"/>
          <w:shd w:val="clear" w:fill="FFFFFF"/>
          <w:lang w:val="en-US" w:eastAsia="zh-CN"/>
        </w:rPr>
        <w:t xml:space="preserve">精准对标对表全国、全省、应急系统“八五”普法规划，全国、全省法治政府建设纲要和普法依法治理工作要点，压实“谁执法谁普法”普法责任，以提高应急管理法治化水平为目标，以持续提升全社会公民应急管理法治素养为重点，以增强应急管理普法工作针对性、实效性为着力点，为奋力答好谱写“福建篇章”莆田答卷提供强大精神力量，以实际行动迎接党的二十大胜利召开。 </w:t>
      </w:r>
    </w:p>
    <w:p>
      <w:pPr>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right="0" w:rightChars="0" w:firstLine="640" w:firstLineChars="200"/>
        <w:jc w:val="left"/>
        <w:textAlignment w:val="auto"/>
        <w:outlineLvl w:val="9"/>
        <w:rPr>
          <w:rFonts w:hint="eastAsia" w:ascii="楷体" w:hAnsi="楷体" w:eastAsia="楷体" w:cs="楷体"/>
          <w:b/>
          <w:bCs/>
          <w:i w:val="0"/>
          <w:iCs w:val="0"/>
          <w:caps w:val="0"/>
          <w:color w:val="333333"/>
          <w:spacing w:val="0"/>
          <w:kern w:val="2"/>
          <w:sz w:val="32"/>
          <w:szCs w:val="32"/>
          <w:shd w:val="clear" w:fill="FFFFFF"/>
          <w:lang w:val="en-US" w:eastAsia="zh-CN" w:bidi="ar-SA"/>
        </w:rPr>
      </w:pPr>
      <w:r>
        <w:rPr>
          <w:rFonts w:hint="eastAsia" w:ascii="黑体" w:hAnsi="宋体" w:eastAsia="黑体" w:cs="黑体"/>
          <w:i w:val="0"/>
          <w:iCs w:val="0"/>
          <w:caps w:val="0"/>
          <w:color w:val="333333"/>
          <w:spacing w:val="0"/>
          <w:sz w:val="32"/>
          <w:szCs w:val="32"/>
          <w:shd w:val="clear" w:fill="FFFFFF"/>
          <w:lang w:eastAsia="zh-CN"/>
        </w:rPr>
        <w:t>一、</w:t>
      </w:r>
      <w:r>
        <w:rPr>
          <w:rFonts w:hint="eastAsia" w:ascii="黑体" w:hAnsi="黑体" w:eastAsia="黑体" w:cs="黑体"/>
          <w:sz w:val="32"/>
          <w:szCs w:val="32"/>
          <w:lang w:val="en-US" w:eastAsia="zh-CN"/>
        </w:rPr>
        <w:t>坚持政治引领，深入学习宣传贯彻习近平法治思想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宋体" w:hAnsi="宋体" w:eastAsia="宋体" w:cs="宋体"/>
          <w:color w:val="666666"/>
          <w:sz w:val="27"/>
          <w:szCs w:val="27"/>
          <w:shd w:val="clear" w:fill="FFFFFF"/>
        </w:rPr>
      </w:pPr>
      <w:r>
        <w:rPr>
          <w:rFonts w:hint="eastAsia" w:ascii="楷体" w:hAnsi="楷体" w:eastAsia="楷体" w:cs="楷体"/>
          <w:b/>
          <w:bCs/>
          <w:i w:val="0"/>
          <w:iCs w:val="0"/>
          <w:caps w:val="0"/>
          <w:color w:val="333333"/>
          <w:spacing w:val="0"/>
          <w:kern w:val="2"/>
          <w:sz w:val="32"/>
          <w:szCs w:val="32"/>
          <w:shd w:val="clear" w:fill="FFFFFF"/>
          <w:lang w:val="en-US" w:eastAsia="zh-CN" w:bidi="ar-SA"/>
        </w:rPr>
        <w:t>1.学习宣传贯彻习近平法治思想。</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认真学习践行习近平法治思想，将习近平法治思想纳入党委理论中心组学习重点内容。组织系统内党员干部参加党校（行政学院）和干部学院相关培训，邀请习近平法治思想宣讲团成员授课，组织党员干部深入学习《习近平法治思想学习纲要》《习近平法治思想学习问答》等重要学习读物，开展全员学习和“党员活动日”学习等活动，不断深化认识，引导党员干部坚定不移走中国特色社会主义法治道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宋体" w:hAnsi="宋体" w:eastAsia="宋体" w:cs="宋体"/>
          <w:color w:val="666666"/>
          <w:sz w:val="27"/>
          <w:szCs w:val="27"/>
          <w:shd w:val="clear" w:fill="FFFFFF"/>
        </w:rPr>
      </w:pPr>
      <w:r>
        <w:rPr>
          <w:rFonts w:hint="eastAsia" w:ascii="楷体" w:hAnsi="楷体" w:eastAsia="楷体" w:cs="楷体"/>
          <w:b/>
          <w:bCs/>
          <w:i w:val="0"/>
          <w:iCs w:val="0"/>
          <w:caps w:val="0"/>
          <w:color w:val="333333"/>
          <w:spacing w:val="0"/>
          <w:kern w:val="2"/>
          <w:sz w:val="32"/>
          <w:szCs w:val="32"/>
          <w:shd w:val="clear" w:fill="FFFFFF"/>
          <w:lang w:val="en-US" w:eastAsia="zh-CN" w:bidi="ar-SA"/>
        </w:rPr>
        <w:t>2.用习近平法治思想引领普法工作。</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把学习宣传贯彻习近平法治思想作为应急系统普法的头等大事，作为落实“谁执法谁普法”普法责任制的重点任务，大力推进实时普法、公益普法、精准普法、全员普法，把普法融入行政监督检查、行政许可、行政处罚等全过程，增强法治宣传教育的科学性、针对性、实效性。充分运用各类媒体和学习平台，群众喜闻乐见、易于接受的方式开展法治宣传教育，增强群众的参与感、体验感、获得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宋体" w:eastAsia="黑体" w:cs="黑体"/>
          <w:i w:val="0"/>
          <w:iCs w:val="0"/>
          <w:caps w:val="0"/>
          <w:color w:val="333333"/>
          <w:spacing w:val="0"/>
          <w:sz w:val="32"/>
          <w:szCs w:val="32"/>
          <w:shd w:val="clear" w:fill="FFFFFF"/>
          <w:lang w:eastAsia="zh-CN"/>
        </w:rPr>
      </w:pPr>
      <w:r>
        <w:rPr>
          <w:rFonts w:hint="eastAsia" w:ascii="黑体" w:hAnsi="宋体" w:eastAsia="黑体" w:cs="黑体"/>
          <w:i w:val="0"/>
          <w:iCs w:val="0"/>
          <w:caps w:val="0"/>
          <w:color w:val="333333"/>
          <w:spacing w:val="0"/>
          <w:sz w:val="32"/>
          <w:szCs w:val="32"/>
          <w:shd w:val="clear" w:fill="FFFFFF"/>
          <w:lang w:eastAsia="zh-CN"/>
        </w:rPr>
        <w:t>二、紧扣服务大局</w:t>
      </w:r>
      <w:r>
        <w:rPr>
          <w:rFonts w:hint="eastAsia" w:ascii="黑体" w:hAnsi="黑体" w:eastAsia="黑体" w:cs="黑体"/>
          <w:sz w:val="32"/>
          <w:szCs w:val="32"/>
          <w:lang w:val="en-US" w:eastAsia="zh-CN"/>
        </w:rPr>
        <w:t>，开展主题法治宣传活动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楷体" w:hAnsi="楷体" w:eastAsia="楷体" w:cs="楷体"/>
          <w:b/>
          <w:bCs/>
          <w:i w:val="0"/>
          <w:iCs w:val="0"/>
          <w:caps w:val="0"/>
          <w:color w:val="333333"/>
          <w:spacing w:val="0"/>
          <w:kern w:val="2"/>
          <w:sz w:val="32"/>
          <w:szCs w:val="32"/>
          <w:shd w:val="clear" w:fill="FFFFFF"/>
          <w:lang w:val="en-US" w:eastAsia="zh-CN" w:bidi="ar-SA"/>
        </w:rPr>
        <w:t>3.全力服务党的二十大胜利召开。</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认真学习贯彻《中共中央关于党的百年奋斗重大成就和历史经验的决议》，深刻理解关于党的百年法治建设重大成就和历史经验的重要论述，深入开展“服务大局普法行”活动，切实增强全社会走中国特色社会主义法治道路的自信和自觉，着力为党的二十大胜利召开营造良好法治环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楷体" w:hAnsi="楷体" w:eastAsia="楷体" w:cs="楷体"/>
          <w:b/>
          <w:bCs/>
          <w:i w:val="0"/>
          <w:iCs w:val="0"/>
          <w:caps w:val="0"/>
          <w:color w:val="333333"/>
          <w:spacing w:val="0"/>
          <w:kern w:val="2"/>
          <w:sz w:val="32"/>
          <w:szCs w:val="32"/>
          <w:shd w:val="clear" w:fill="FFFFFF"/>
          <w:lang w:val="en-US" w:eastAsia="zh-CN" w:bidi="ar-SA"/>
        </w:rPr>
        <w:t>4.持续加强宪法学习宣传。</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配合做好纪念现行宪法公布施行四十周年系列活动，参与开展“12·4”国家宪法日和“宪法宣传周”集中宣传，通过广泛深入的宪法知识宣传教育，进一步增强干部职工的宪法意识和法治观念，保证宪法全面贯彻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i w:val="0"/>
          <w:iCs w:val="0"/>
          <w:caps w:val="0"/>
          <w:color w:val="333333"/>
          <w:spacing w:val="0"/>
          <w:kern w:val="2"/>
          <w:sz w:val="32"/>
          <w:szCs w:val="32"/>
          <w:shd w:val="clear" w:fill="FFFFFF"/>
          <w:lang w:val="en-US" w:eastAsia="zh-CN" w:bidi="ar-SA"/>
        </w:rPr>
        <w:t>5.开展民法典宣传活动</w:t>
      </w:r>
      <w:r>
        <w:rPr>
          <w:rFonts w:hint="eastAsia" w:ascii="仿宋_GB2312" w:hAnsi="宋体" w:eastAsia="仿宋_GB2312" w:cs="仿宋_GB2312"/>
          <w:i w:val="0"/>
          <w:iCs w:val="0"/>
          <w:caps w:val="0"/>
          <w:color w:val="333333"/>
          <w:spacing w:val="0"/>
          <w:sz w:val="32"/>
          <w:szCs w:val="32"/>
          <w:shd w:val="clear" w:fill="FFFFFF"/>
          <w:lang w:val="en-US" w:eastAsia="zh-CN"/>
        </w:rPr>
        <w:t>。</w:t>
      </w:r>
      <w:r>
        <w:rPr>
          <w:rFonts w:hint="default" w:ascii="Times New Roman" w:hAnsi="Times New Roman" w:eastAsia="仿宋_GB2312" w:cs="Times New Roman"/>
          <w:sz w:val="32"/>
          <w:szCs w:val="32"/>
          <w:lang w:val="en-US" w:eastAsia="zh-CN"/>
        </w:rPr>
        <w:t>学习宣传习近平总书记关于民法典的重要指示精神，结合宣传中国共产党成立以来、特别是党的十八大以来党领导人民进行法治建设取得的辉煌成就，深入宣传民法典实施以来在保障人民群众合法权益、促进社会主义市场经济繁荣发展等方面发挥的重大作用</w:t>
      </w:r>
      <w:r>
        <w:rPr>
          <w:rFonts w:hint="eastAsia" w:ascii="仿宋_GB2312" w:hAnsi="宋体"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sz w:val="32"/>
          <w:szCs w:val="32"/>
          <w:lang w:val="en-US" w:eastAsia="zh-CN"/>
        </w:rPr>
        <w:t>广泛宣传以民法典为主体的相关民生保障法律法规，让民法典走到群众身边、走进群众心里。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楷体" w:hAnsi="楷体" w:eastAsia="楷体" w:cs="楷体"/>
          <w:b/>
          <w:bCs/>
          <w:i w:val="0"/>
          <w:iCs w:val="0"/>
          <w:caps w:val="0"/>
          <w:color w:val="333333"/>
          <w:spacing w:val="0"/>
          <w:kern w:val="2"/>
          <w:sz w:val="32"/>
          <w:szCs w:val="32"/>
          <w:shd w:val="clear" w:fill="FFFFFF"/>
          <w:lang w:val="en-US" w:eastAsia="zh-CN" w:bidi="ar-SA"/>
        </w:rPr>
      </w:pPr>
      <w:r>
        <w:rPr>
          <w:rFonts w:hint="eastAsia" w:ascii="楷体" w:hAnsi="楷体" w:eastAsia="楷体" w:cs="楷体"/>
          <w:b/>
          <w:bCs/>
          <w:i w:val="0"/>
          <w:iCs w:val="0"/>
          <w:caps w:val="0"/>
          <w:color w:val="333333"/>
          <w:spacing w:val="0"/>
          <w:kern w:val="2"/>
          <w:sz w:val="32"/>
          <w:szCs w:val="32"/>
          <w:shd w:val="clear" w:fill="FFFFFF"/>
          <w:lang w:val="en-US" w:eastAsia="zh-CN" w:bidi="ar-SA"/>
        </w:rPr>
        <w:t>6.开展国家安全教育活动。</w:t>
      </w:r>
      <w:r>
        <w:rPr>
          <w:rFonts w:hint="default" w:ascii="Times New Roman" w:hAnsi="Times New Roman" w:eastAsia="仿宋_GB2312" w:cs="Times New Roman"/>
          <w:color w:val="000000"/>
          <w:sz w:val="32"/>
          <w:szCs w:val="32"/>
          <w:lang w:val="en-US" w:eastAsia="zh-CN"/>
        </w:rPr>
        <w:t>深入开展“4·15”全民国家安全教育日法治宣传教育，大力宣传总体国家安全观和国家安全法、反分裂国家法、国防法、反恐怖主义法、生物安全法、数据安全法、网络安全法等，推动全社会</w:t>
      </w:r>
      <w:r>
        <w:rPr>
          <w:rFonts w:hint="eastAsia" w:ascii="Times New Roman" w:hAnsi="Times New Roman" w:eastAsia="仿宋_GB2312" w:cs="Times New Roman"/>
          <w:color w:val="000000"/>
          <w:sz w:val="32"/>
          <w:szCs w:val="32"/>
          <w:lang w:val="en-US" w:eastAsia="zh-CN"/>
        </w:rPr>
        <w:t>提升</w:t>
      </w:r>
      <w:r>
        <w:rPr>
          <w:rFonts w:hint="default" w:ascii="Times New Roman" w:hAnsi="Times New Roman" w:eastAsia="仿宋_GB2312" w:cs="Times New Roman"/>
          <w:color w:val="000000"/>
          <w:sz w:val="32"/>
          <w:szCs w:val="32"/>
          <w:lang w:val="en-US" w:eastAsia="zh-CN"/>
        </w:rPr>
        <w:t>国家安全意识和风险防控能力。积极参加国家安全法律知识竞赛活动。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楷体" w:hAnsi="楷体" w:eastAsia="楷体" w:cs="楷体"/>
          <w:b/>
          <w:bCs/>
          <w:i w:val="0"/>
          <w:iCs w:val="0"/>
          <w:caps w:val="0"/>
          <w:color w:val="333333"/>
          <w:spacing w:val="0"/>
          <w:kern w:val="2"/>
          <w:sz w:val="32"/>
          <w:szCs w:val="32"/>
          <w:shd w:val="clear" w:fill="FFFFFF"/>
          <w:lang w:val="en-US" w:eastAsia="zh-CN" w:bidi="ar-SA"/>
        </w:rPr>
      </w:pPr>
      <w:r>
        <w:rPr>
          <w:rFonts w:hint="eastAsia" w:ascii="楷体" w:hAnsi="楷体" w:eastAsia="楷体" w:cs="楷体"/>
          <w:b/>
          <w:bCs/>
          <w:color w:val="000000"/>
          <w:kern w:val="0"/>
          <w:sz w:val="32"/>
          <w:szCs w:val="32"/>
          <w:lang w:val="en-US" w:eastAsia="zh-CN" w:bidi="ar"/>
        </w:rPr>
        <w:t>7.开展新安法主题宣传活动。</w:t>
      </w:r>
      <w:r>
        <w:rPr>
          <w:rFonts w:hint="eastAsia" w:ascii="仿宋_GB2312" w:hAnsi="仿宋_GB2312" w:eastAsia="仿宋_GB2312" w:cs="仿宋_GB2312"/>
          <w:sz w:val="32"/>
          <w:szCs w:val="32"/>
          <w:lang w:val="en-US" w:eastAsia="zh-CN"/>
        </w:rPr>
        <w:t>与安全生产宣传教育“五进”活动紧密结合，深入开展新修订《安全生产法》主题宣传活动，宣传安全生产法主要修正内容，大力弘扬新时代安全发展理念，全面落实安全生产责任制的重要意义，全面营造安全生产遵法、学法、守法、用法的浓厚氛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楷体" w:hAnsi="楷体" w:eastAsia="楷体" w:cs="楷体"/>
          <w:b/>
          <w:bCs/>
          <w:i w:val="0"/>
          <w:iCs w:val="0"/>
          <w:caps w:val="0"/>
          <w:color w:val="333333"/>
          <w:spacing w:val="0"/>
          <w:kern w:val="2"/>
          <w:sz w:val="32"/>
          <w:szCs w:val="32"/>
          <w:shd w:val="clear" w:fill="FFFFFF"/>
          <w:lang w:val="en-US" w:eastAsia="zh-CN" w:bidi="ar-SA"/>
        </w:rPr>
        <w:t>8.加强应急法治宣传教育。</w:t>
      </w:r>
      <w:r>
        <w:rPr>
          <w:rFonts w:hint="eastAsia" w:ascii="仿宋_GB2312" w:hAnsi="仿宋_GB2312" w:eastAsia="仿宋_GB2312" w:cs="仿宋_GB2312"/>
          <w:kern w:val="2"/>
          <w:sz w:val="32"/>
          <w:szCs w:val="32"/>
          <w:lang w:val="en-US" w:eastAsia="zh-CN" w:bidi="ar-SA"/>
        </w:rPr>
        <w:t>利用“全国防灾减灾日”“安全生产月”“119消防宣传日”等时间节点以及各类普法平台载体，组织开展应急管理、安全生产、防灾减灾救灾法治宣传教育活动。开展志愿者服务活动，多措并举宣传应急法律法规，引导全社会牢固树立安全发展理念，推动落实党政领导责任、部门监管责任和企业主体责任，着力提高安全风险防控效能、安全管理能力、事故防范效果和安全治理水平，不断提升本质安全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楷体" w:hAnsi="楷体" w:eastAsia="楷体" w:cs="楷体"/>
          <w:b/>
          <w:bCs/>
          <w:i w:val="0"/>
          <w:iCs w:val="0"/>
          <w:caps w:val="0"/>
          <w:color w:val="333333"/>
          <w:spacing w:val="0"/>
          <w:kern w:val="2"/>
          <w:sz w:val="32"/>
          <w:szCs w:val="32"/>
          <w:shd w:val="clear" w:fill="FFFFFF"/>
          <w:lang w:val="en-US" w:eastAsia="zh-CN" w:bidi="ar-SA"/>
        </w:rPr>
        <w:t>9.加强党内法规体系学习宣传。</w:t>
      </w:r>
      <w:r>
        <w:rPr>
          <w:rFonts w:hint="eastAsia" w:ascii="仿宋_GB2312" w:hAnsi="仿宋_GB2312" w:eastAsia="仿宋_GB2312" w:cs="仿宋_GB2312"/>
          <w:kern w:val="2"/>
          <w:sz w:val="32"/>
          <w:szCs w:val="32"/>
          <w:lang w:val="en-US" w:eastAsia="zh-CN" w:bidi="ar-SA"/>
        </w:rPr>
        <w:t>聚焦全面从严治党、依规治党新形势、新要求，以党章、准则、条例等为重点，注重党内法规宣传同国家法律宣传的衔接协调，教育广大党员以党章为根本遵循，尊崇党章、遵守党章、贯彻党章、维护党章。把学习掌握党内法规作为合格党员的基本要求，列入党组织“三会一课”内容，促进党内法规学习宣传常态化、制度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宋体" w:eastAsia="黑体" w:cs="黑体"/>
          <w:i w:val="0"/>
          <w:iCs w:val="0"/>
          <w:caps w:val="0"/>
          <w:color w:val="333333"/>
          <w:spacing w:val="0"/>
          <w:sz w:val="32"/>
          <w:szCs w:val="32"/>
          <w:shd w:val="clear" w:fill="FFFFFF"/>
          <w:lang w:eastAsia="zh-CN"/>
        </w:rPr>
      </w:pPr>
      <w:r>
        <w:rPr>
          <w:rFonts w:hint="eastAsia" w:ascii="黑体" w:hAnsi="黑体" w:eastAsia="黑体" w:cs="黑体"/>
          <w:sz w:val="32"/>
          <w:szCs w:val="32"/>
          <w:lang w:val="en-US" w:eastAsia="zh-CN"/>
        </w:rPr>
        <w:t>四、紧抓重点对象，持续提升公民法治素养</w:t>
      </w:r>
    </w:p>
    <w:p>
      <w:pPr>
        <w:pStyle w:val="31"/>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楷体" w:hAnsi="楷体" w:eastAsia="楷体" w:cs="楷体"/>
          <w:b/>
          <w:bCs/>
          <w:i w:val="0"/>
          <w:iCs w:val="0"/>
          <w:caps w:val="0"/>
          <w:color w:val="333333"/>
          <w:spacing w:val="0"/>
          <w:kern w:val="2"/>
          <w:sz w:val="32"/>
          <w:szCs w:val="32"/>
          <w:shd w:val="clear" w:fill="FFFFFF"/>
          <w:lang w:val="en-US" w:eastAsia="zh-CN" w:bidi="ar-SA"/>
        </w:rPr>
      </w:pPr>
      <w:r>
        <w:rPr>
          <w:rFonts w:hint="eastAsia" w:ascii="楷体" w:hAnsi="楷体" w:eastAsia="楷体" w:cs="楷体"/>
          <w:b/>
          <w:bCs/>
          <w:i w:val="0"/>
          <w:iCs w:val="0"/>
          <w:caps w:val="0"/>
          <w:color w:val="333333"/>
          <w:spacing w:val="0"/>
          <w:kern w:val="2"/>
          <w:sz w:val="32"/>
          <w:szCs w:val="32"/>
          <w:shd w:val="clear" w:fill="FFFFFF"/>
          <w:lang w:val="en-US" w:eastAsia="zh-CN" w:bidi="ar-SA"/>
        </w:rPr>
        <w:t>10.加强应急管理系统干部法治教育。</w:t>
      </w:r>
      <w:r>
        <w:rPr>
          <w:rFonts w:hint="eastAsia" w:ascii="仿宋_GB2312" w:hAnsi="仿宋_GB2312" w:eastAsia="仿宋_GB2312" w:cs="仿宋_GB2312"/>
          <w:kern w:val="2"/>
          <w:sz w:val="32"/>
          <w:szCs w:val="32"/>
          <w:lang w:val="en-US" w:eastAsia="zh-CN" w:bidi="ar-SA"/>
        </w:rPr>
        <w:t>坚持抓住领导干部这个“关键少数”，充分发挥领导干部带头尊法、学法、守法、用法的模范带头作用，落实领导干部学法述法制度，切实增强领导干部运用法治思维和法治方式深化应急改革、推动发展、化解矛盾、维护稳定、应对风险的能力。把法治教育纳入应急管理干部职工教育培训内容，</w:t>
      </w:r>
      <w:r>
        <w:rPr>
          <w:rFonts w:hint="default" w:ascii="仿宋_GB2312" w:hAnsi="仿宋_GB2312" w:eastAsia="仿宋_GB2312" w:cs="仿宋_GB2312"/>
          <w:kern w:val="2"/>
          <w:sz w:val="32"/>
          <w:szCs w:val="32"/>
          <w:lang w:val="en-US" w:eastAsia="zh-CN" w:bidi="ar-SA"/>
        </w:rPr>
        <w:t>利用应急管理部干部网络</w:t>
      </w:r>
      <w:r>
        <w:rPr>
          <w:rFonts w:hint="eastAsia" w:ascii="仿宋_GB2312" w:hAnsi="仿宋_GB2312" w:eastAsia="仿宋_GB2312" w:cs="仿宋_GB2312"/>
          <w:kern w:val="2"/>
          <w:sz w:val="32"/>
          <w:szCs w:val="32"/>
          <w:lang w:val="en-US" w:eastAsia="zh-CN" w:bidi="ar-SA"/>
        </w:rPr>
        <w:t>学院</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福建</w:t>
      </w:r>
      <w:r>
        <w:rPr>
          <w:rFonts w:hint="default" w:ascii="仿宋_GB2312" w:hAnsi="仿宋_GB2312" w:eastAsia="仿宋_GB2312" w:cs="仿宋_GB2312"/>
          <w:kern w:val="2"/>
          <w:sz w:val="32"/>
          <w:szCs w:val="32"/>
          <w:lang w:val="en-US" w:eastAsia="zh-CN" w:bidi="ar-SA"/>
        </w:rPr>
        <w:t>干部网络学院</w:t>
      </w:r>
      <w:r>
        <w:rPr>
          <w:rFonts w:hint="eastAsia" w:ascii="仿宋_GB2312" w:hAnsi="仿宋_GB2312" w:eastAsia="仿宋_GB2312" w:cs="仿宋_GB2312"/>
          <w:kern w:val="2"/>
          <w:sz w:val="32"/>
          <w:szCs w:val="32"/>
          <w:lang w:val="en-US" w:eastAsia="zh-CN" w:bidi="ar-SA"/>
        </w:rPr>
        <w:t>、莆田市法治宣传教育云平台</w:t>
      </w:r>
      <w:r>
        <w:rPr>
          <w:rFonts w:hint="default" w:ascii="仿宋_GB2312" w:hAnsi="仿宋_GB2312" w:eastAsia="仿宋_GB2312" w:cs="仿宋_GB2312"/>
          <w:kern w:val="2"/>
          <w:sz w:val="32"/>
          <w:szCs w:val="32"/>
          <w:lang w:val="en-US" w:eastAsia="zh-CN" w:bidi="ar-SA"/>
        </w:rPr>
        <w:t>等培训资源</w:t>
      </w:r>
      <w:r>
        <w:rPr>
          <w:rFonts w:hint="eastAsia" w:ascii="仿宋_GB2312" w:hAnsi="仿宋_GB2312" w:eastAsia="仿宋_GB2312" w:cs="仿宋_GB2312"/>
          <w:kern w:val="2"/>
          <w:sz w:val="32"/>
          <w:szCs w:val="32"/>
          <w:lang w:val="en-US" w:eastAsia="zh-CN" w:bidi="ar-SA"/>
        </w:rPr>
        <w:t>，落实应急管理行政执法人员入职培训、定期轮训、定期考试和考核制度，定期组织全市应急管理干部参加应急管理大讲堂、法治讲座和旁听庭审等活动，提高全市应急管理干部法治素养和依法行政能力。</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i w:val="0"/>
          <w:iCs w:val="0"/>
          <w:caps w:val="0"/>
          <w:color w:val="333333"/>
          <w:spacing w:val="0"/>
          <w:kern w:val="2"/>
          <w:sz w:val="32"/>
          <w:szCs w:val="32"/>
          <w:shd w:val="clear" w:fill="FFFFFF"/>
          <w:lang w:val="en-US" w:eastAsia="zh-CN" w:bidi="ar-SA"/>
        </w:rPr>
        <w:t>11.持续加强企业从业人员法治教育。</w:t>
      </w:r>
      <w:r>
        <w:rPr>
          <w:rFonts w:hint="eastAsia" w:ascii="仿宋_GB2312" w:hAnsi="仿宋_GB2312" w:eastAsia="仿宋_GB2312" w:cs="仿宋_GB2312"/>
          <w:kern w:val="2"/>
          <w:sz w:val="32"/>
          <w:szCs w:val="32"/>
          <w:lang w:val="en-US" w:eastAsia="zh-CN" w:bidi="ar-SA"/>
        </w:rPr>
        <w:t>结合安全生产标准化、安全生产专项整治等重点工作，广泛宣传与企业生产经营密切相关的法律法规，督促生产经营单位把应急管理法治教育作为生产经营单位安全教育培训重要内容，加大企业负责人、安全生产管理人员和一线从业人员的安全生产法治教育培训力度，强化安全培训考核，严格高危行业生产经营单位主要负责人和管理人员、特种作业人员考核发证，严格生产经营单位“三项岗位人员”持证上岗，促进企业负责人和经营管理人员切实履行法律法规规定的安全生产职责。</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lang w:val="en-US" w:eastAsia="zh-CN"/>
        </w:rPr>
        <w:t>12</w:t>
      </w:r>
      <w:r>
        <w:rPr>
          <w:rFonts w:hint="eastAsia" w:ascii="仿宋_GB2312" w:hAnsi="仿宋_GB2312" w:eastAsia="仿宋_GB2312" w:cs="仿宋_GB2312"/>
          <w:b/>
          <w:bCs/>
          <w:sz w:val="32"/>
          <w:szCs w:val="32"/>
          <w:u w:val="none"/>
        </w:rPr>
        <w:t>.深入开展群众性法治宣传教育</w:t>
      </w:r>
      <w:r>
        <w:rPr>
          <w:rFonts w:hint="eastAsia" w:ascii="仿宋_GB2312" w:hAnsi="仿宋_GB2312" w:eastAsia="仿宋_GB2312" w:cs="仿宋_GB2312"/>
          <w:b/>
          <w:bCs/>
          <w:color w:val="000000"/>
          <w:kern w:val="2"/>
          <w:sz w:val="32"/>
          <w:szCs w:val="32"/>
          <w:u w:val="none"/>
        </w:rPr>
        <w:t>。</w:t>
      </w:r>
      <w:r>
        <w:rPr>
          <w:rFonts w:hint="eastAsia" w:ascii="仿宋_GB2312" w:hAnsi="仿宋_GB2312" w:eastAsia="仿宋_GB2312" w:cs="仿宋_GB2312"/>
          <w:color w:val="000000"/>
          <w:kern w:val="0"/>
          <w:sz w:val="32"/>
          <w:szCs w:val="32"/>
          <w:u w:val="none"/>
        </w:rPr>
        <w:t>积极推进应急管理法治宣传教育进企业、进农村、进社区、进学校、进家庭，充分利用广播、电视、报纸、杂志和网络新媒体等平台，通过开设应急管理法治专题专栏、播放公益视频、组织知识竞赛、开展安全培训、张贴宣传海报等各种形式，广泛开展面向社会公众的应急管理知识宣传、防灾减灾知识普及、自救互救技能培训和安全应急演练，</w:t>
      </w:r>
      <w:r>
        <w:rPr>
          <w:rFonts w:hint="eastAsia" w:ascii="仿宋_GB2312" w:hAnsi="仿宋_GB2312" w:eastAsia="仿宋_GB2312" w:cs="仿宋_GB2312"/>
          <w:color w:val="000000"/>
          <w:kern w:val="0"/>
          <w:sz w:val="32"/>
          <w:szCs w:val="32"/>
          <w:u w:val="none"/>
          <w:lang w:eastAsia="zh-CN"/>
        </w:rPr>
        <w:t>增强</w:t>
      </w:r>
      <w:r>
        <w:rPr>
          <w:rFonts w:hint="eastAsia" w:ascii="仿宋_GB2312" w:hAnsi="仿宋_GB2312" w:eastAsia="仿宋_GB2312" w:cs="仿宋_GB2312"/>
          <w:color w:val="000000"/>
          <w:kern w:val="0"/>
          <w:sz w:val="32"/>
          <w:szCs w:val="32"/>
          <w:u w:val="none"/>
        </w:rPr>
        <w:t>全社会应急管理法治意识。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rightChars="0" w:firstLine="640" w:firstLineChars="200"/>
        <w:jc w:val="left"/>
        <w:textAlignment w:val="auto"/>
        <w:rPr>
          <w:rFonts w:hint="eastAsia" w:ascii="宋体" w:hAnsi="宋体" w:eastAsia="宋体" w:cs="宋体"/>
          <w:color w:val="666666"/>
          <w:sz w:val="27"/>
          <w:szCs w:val="27"/>
          <w:shd w:val="clear" w:fill="FFFFFF"/>
        </w:rPr>
      </w:pPr>
      <w:r>
        <w:rPr>
          <w:rFonts w:hint="eastAsia" w:ascii="黑体" w:hAnsi="宋体" w:eastAsia="黑体" w:cs="黑体"/>
          <w:i w:val="0"/>
          <w:iCs w:val="0"/>
          <w:caps w:val="0"/>
          <w:color w:val="333333"/>
          <w:spacing w:val="0"/>
          <w:kern w:val="2"/>
          <w:sz w:val="32"/>
          <w:szCs w:val="32"/>
          <w:shd w:val="clear" w:fill="FFFFFF"/>
          <w:lang w:val="en-US" w:eastAsia="zh-CN" w:bidi="ar-SA"/>
        </w:rPr>
        <w:t>四、强化载体建设，大力加强法治文化建设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楷体" w:hAnsi="楷体" w:eastAsia="楷体" w:cs="楷体"/>
          <w:b/>
          <w:bCs/>
          <w:i w:val="0"/>
          <w:iCs w:val="0"/>
          <w:caps w:val="0"/>
          <w:color w:val="333333"/>
          <w:spacing w:val="0"/>
          <w:kern w:val="2"/>
          <w:sz w:val="32"/>
          <w:szCs w:val="32"/>
          <w:shd w:val="clear" w:fill="FFFFFF"/>
          <w:lang w:val="en-US" w:eastAsia="zh-CN" w:bidi="ar-SA"/>
        </w:rPr>
        <w:t>13.加强线上线下阵地建设。</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加大微信、微博等新媒体普法的建设和应用力度，加大音视频普法内容供给，通过精美图片、趣味视频等方式开展体验式、互动式普法，建设融“报、网、端、微、屏”于一体的全媒体法治传播体系。</w:t>
      </w:r>
      <w:r>
        <w:rPr>
          <w:rFonts w:hint="eastAsia" w:ascii="仿宋_GB2312" w:hAnsi="仿宋_GB2312" w:eastAsia="仿宋_GB2312" w:cs="仿宋_GB2312"/>
          <w:sz w:val="32"/>
          <w:szCs w:val="32"/>
          <w:u w:val="none"/>
        </w:rPr>
        <w:t>充分利用“五个一百”安全应急提升工程的宣传载体平台开展法治宣传活动，营造良好的法治氛围。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六、压实普法责任，</w:t>
      </w:r>
      <w:r>
        <w:rPr>
          <w:rFonts w:hint="eastAsia" w:ascii="黑体" w:hAnsi="宋体" w:eastAsia="黑体" w:cs="黑体"/>
          <w:color w:val="333333"/>
          <w:kern w:val="0"/>
          <w:sz w:val="32"/>
          <w:szCs w:val="32"/>
          <w:lang w:val="en-US" w:eastAsia="zh-CN" w:bidi="ar"/>
        </w:rPr>
        <w:t>加强普法组织保障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sz w:val="32"/>
          <w:szCs w:val="32"/>
        </w:rPr>
      </w:pPr>
      <w:r>
        <w:rPr>
          <w:rFonts w:hint="eastAsia" w:ascii="楷体" w:hAnsi="楷体" w:eastAsia="楷体" w:cs="楷体"/>
          <w:b/>
          <w:bCs/>
          <w:color w:val="333333"/>
          <w:sz w:val="32"/>
          <w:szCs w:val="32"/>
          <w:lang w:val="en-US" w:eastAsia="zh-CN"/>
        </w:rPr>
        <w:t>14.</w:t>
      </w:r>
      <w:r>
        <w:rPr>
          <w:rFonts w:hint="eastAsia" w:ascii="楷体" w:hAnsi="楷体" w:eastAsia="楷体" w:cs="楷体"/>
          <w:b/>
          <w:bCs/>
          <w:color w:val="333333"/>
          <w:sz w:val="32"/>
          <w:szCs w:val="32"/>
        </w:rPr>
        <w:t>认真安排部署，确保宣传到位。</w:t>
      </w:r>
      <w:r>
        <w:rPr>
          <w:rFonts w:hint="eastAsia" w:ascii="仿宋_GB2312" w:hAnsi="方正小标宋简体" w:eastAsia="仿宋_GB2312" w:cs="仿宋_GB2312"/>
          <w:color w:val="333333"/>
          <w:sz w:val="32"/>
          <w:szCs w:val="32"/>
        </w:rPr>
        <w:t>要高度重视，认真安排部署，形成工作合力，将法治宣传工作摆上重要议事日程，进一步加强监督指导，保障落实工作经费，确保普法宣传工作达到预期标准和应有要求。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sz w:val="32"/>
          <w:szCs w:val="32"/>
        </w:rPr>
      </w:pPr>
      <w:r>
        <w:rPr>
          <w:rFonts w:hint="eastAsia" w:ascii="楷体" w:hAnsi="楷体" w:eastAsia="楷体" w:cs="楷体"/>
          <w:b/>
          <w:bCs/>
          <w:color w:val="333333"/>
          <w:sz w:val="32"/>
          <w:szCs w:val="32"/>
          <w:lang w:val="en-US" w:eastAsia="zh-CN"/>
        </w:rPr>
        <w:t>15.</w:t>
      </w:r>
      <w:r>
        <w:rPr>
          <w:rFonts w:hint="eastAsia" w:ascii="楷体" w:hAnsi="楷体" w:eastAsia="楷体" w:cs="楷体"/>
          <w:b/>
          <w:bCs/>
          <w:color w:val="333333"/>
          <w:sz w:val="32"/>
          <w:szCs w:val="32"/>
        </w:rPr>
        <w:t>广泛宣传报道，提高宣传时效。</w:t>
      </w:r>
      <w:r>
        <w:rPr>
          <w:rFonts w:hint="eastAsia" w:ascii="仿宋_GB2312" w:hAnsi="方正小标宋简体" w:eastAsia="仿宋_GB2312" w:cs="仿宋_GB2312"/>
          <w:color w:val="333333"/>
          <w:sz w:val="32"/>
          <w:szCs w:val="32"/>
        </w:rPr>
        <w:t>要认真做好20</w:t>
      </w:r>
      <w:r>
        <w:rPr>
          <w:rFonts w:hint="eastAsia" w:ascii="仿宋_GB2312" w:hAnsi="方正小标宋简体" w:eastAsia="仿宋_GB2312" w:cs="仿宋_GB2312"/>
          <w:color w:val="333333"/>
          <w:sz w:val="32"/>
          <w:szCs w:val="32"/>
          <w:lang w:val="en-US" w:eastAsia="zh-CN"/>
        </w:rPr>
        <w:t>21</w:t>
      </w:r>
      <w:r>
        <w:rPr>
          <w:rFonts w:hint="eastAsia" w:ascii="仿宋_GB2312" w:hAnsi="方正小标宋简体" w:eastAsia="仿宋_GB2312" w:cs="仿宋_GB2312"/>
          <w:color w:val="333333"/>
          <w:sz w:val="32"/>
          <w:szCs w:val="32"/>
        </w:rPr>
        <w:t>年的法治宣传工作，及时制定普法责任清单，充分结合“安全生产月”“消防宣传月</w:t>
      </w:r>
      <w:r>
        <w:rPr>
          <w:rFonts w:hint="eastAsia" w:ascii="仿宋_GB2312" w:hAnsi="方正小标宋简体" w:eastAsia="仿宋_GB2312" w:cs="仿宋_GB2312"/>
          <w:color w:val="333333"/>
          <w:sz w:val="32"/>
          <w:szCs w:val="32"/>
          <w:lang w:eastAsia="zh-CN"/>
        </w:rPr>
        <w:t>”“</w:t>
      </w:r>
      <w:r>
        <w:rPr>
          <w:rFonts w:hint="eastAsia" w:ascii="仿宋_GB2312" w:hAnsi="方正小标宋简体" w:eastAsia="仿宋_GB2312" w:cs="仿宋_GB2312"/>
          <w:color w:val="333333"/>
          <w:sz w:val="32"/>
          <w:szCs w:val="32"/>
        </w:rPr>
        <w:t>12.4”法制宣传日等有利时机，第一时间在街道、社区、集镇等人员密集场所开展宣传活动，形成浓厚宣传氛围。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方正小标宋简体" w:eastAsia="仿宋_GB2312" w:cs="仿宋_GB2312"/>
          <w:color w:val="333333"/>
          <w:sz w:val="32"/>
          <w:szCs w:val="32"/>
        </w:rPr>
      </w:pPr>
      <w:r>
        <w:rPr>
          <w:rFonts w:hint="eastAsia" w:ascii="楷体" w:hAnsi="楷体" w:eastAsia="楷体" w:cs="楷体"/>
          <w:b/>
          <w:bCs/>
          <w:color w:val="333333"/>
          <w:sz w:val="32"/>
          <w:szCs w:val="32"/>
          <w:lang w:val="en-US" w:eastAsia="zh-CN"/>
        </w:rPr>
        <w:t>16.</w:t>
      </w:r>
      <w:r>
        <w:rPr>
          <w:rFonts w:hint="eastAsia" w:ascii="楷体" w:hAnsi="楷体" w:eastAsia="楷体" w:cs="楷体"/>
          <w:b/>
          <w:bCs/>
          <w:color w:val="333333"/>
          <w:sz w:val="32"/>
          <w:szCs w:val="32"/>
        </w:rPr>
        <w:t>及时归纳总结，提升普法成效。</w:t>
      </w:r>
      <w:r>
        <w:rPr>
          <w:rFonts w:hint="eastAsia" w:ascii="仿宋_GB2312" w:hAnsi="仿宋_GB2312" w:eastAsia="仿宋_GB2312" w:cs="仿宋_GB2312"/>
          <w:color w:val="333333"/>
          <w:kern w:val="0"/>
          <w:sz w:val="32"/>
          <w:szCs w:val="32"/>
          <w:lang w:val="en-US" w:eastAsia="zh-CN" w:bidi="ar"/>
        </w:rPr>
        <w:t>局机关各科室、直属事业单位</w:t>
      </w:r>
      <w:r>
        <w:rPr>
          <w:rFonts w:hint="eastAsia" w:ascii="仿宋_GB2312" w:hAnsi="方正小标宋简体" w:eastAsia="仿宋_GB2312" w:cs="仿宋_GB2312"/>
          <w:color w:val="333333"/>
          <w:sz w:val="32"/>
          <w:szCs w:val="32"/>
        </w:rPr>
        <w:t>要认真总结开展法治宣传教育活动的情况，及时通过有关信息简报、图片和典型事例反映活动开展情况、主要成绩和典型经验，工作总结电子版于12月20日前报市局</w:t>
      </w:r>
      <w:r>
        <w:rPr>
          <w:rFonts w:hint="eastAsia" w:ascii="仿宋_GB2312" w:hAnsi="方正小标宋简体" w:eastAsia="仿宋_GB2312" w:cs="仿宋_GB2312"/>
          <w:color w:val="333333"/>
          <w:sz w:val="32"/>
          <w:szCs w:val="32"/>
          <w:lang w:eastAsia="zh-CN"/>
        </w:rPr>
        <w:t>法规科</w:t>
      </w:r>
      <w:r>
        <w:rPr>
          <w:rFonts w:hint="eastAsia" w:ascii="仿宋_GB2312" w:hAnsi="方正小标宋简体" w:eastAsia="仿宋_GB2312" w:cs="仿宋_GB2312"/>
          <w:color w:val="333333"/>
          <w:sz w:val="32"/>
          <w:szCs w:val="32"/>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方正小标宋简体" w:eastAsia="仿宋_GB2312" w:cs="仿宋_GB2312"/>
          <w:color w:val="333333"/>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方正小标宋简体" w:eastAsia="仿宋_GB2312" w:cs="仿宋_GB2312"/>
          <w:color w:val="333333"/>
          <w:sz w:val="32"/>
          <w:szCs w:val="32"/>
          <w:lang w:eastAsia="zh-CN"/>
        </w:rPr>
      </w:pPr>
      <w:r>
        <w:rPr>
          <w:rFonts w:hint="eastAsia" w:ascii="仿宋_GB2312" w:hAnsi="方正小标宋简体" w:eastAsia="仿宋_GB2312" w:cs="仿宋_GB2312"/>
          <w:color w:val="333333"/>
          <w:sz w:val="32"/>
          <w:szCs w:val="32"/>
          <w:lang w:val="en-US" w:eastAsia="zh-CN"/>
        </w:rPr>
        <w:t>附件：莆田市应急管理局2022年普法责任清单</w:t>
      </w:r>
    </w:p>
    <w:p>
      <w:pPr>
        <w:spacing w:line="560" w:lineRule="exact"/>
        <w:rPr>
          <w:rFonts w:hint="eastAsia" w:ascii="黑体" w:hAnsi="黑体" w:eastAsia="黑体" w:cs="Times New Roman"/>
          <w:sz w:val="32"/>
          <w:szCs w:val="32"/>
          <w:lang w:eastAsia="zh-CN"/>
        </w:rPr>
      </w:pPr>
    </w:p>
    <w:p>
      <w:pPr>
        <w:spacing w:line="560" w:lineRule="exact"/>
        <w:rPr>
          <w:rFonts w:hint="eastAsia" w:ascii="黑体" w:hAnsi="黑体" w:eastAsia="黑体" w:cs="Times New Roman"/>
          <w:sz w:val="28"/>
          <w:szCs w:val="28"/>
          <w:lang w:eastAsia="zh-CN"/>
        </w:rPr>
      </w:pPr>
    </w:p>
    <w:p>
      <w:pPr>
        <w:spacing w:line="560" w:lineRule="exact"/>
        <w:rPr>
          <w:rFonts w:hint="eastAsia" w:ascii="黑体" w:hAnsi="黑体" w:eastAsia="黑体" w:cs="Times New Roman"/>
          <w:sz w:val="28"/>
          <w:szCs w:val="28"/>
          <w:lang w:eastAsia="zh-CN"/>
        </w:rPr>
        <w:sectPr>
          <w:footerReference r:id="rId3" w:type="default"/>
          <w:pgSz w:w="11906" w:h="16838"/>
          <w:pgMar w:top="1440" w:right="1505" w:bottom="1440" w:left="1800" w:header="851" w:footer="992" w:gutter="0"/>
          <w:pgNumType w:fmt="numberInDash"/>
          <w:cols w:space="720" w:num="1"/>
          <w:docGrid w:type="lines" w:linePitch="312" w:charSpace="0"/>
        </w:sectPr>
      </w:pPr>
    </w:p>
    <w:p>
      <w:pPr>
        <w:spacing w:line="560" w:lineRule="exact"/>
        <w:rPr>
          <w:rFonts w:hint="eastAsia" w:ascii="黑体" w:hAnsi="黑体" w:eastAsia="黑体" w:cs="Times New Roman"/>
          <w:sz w:val="32"/>
          <w:szCs w:val="32"/>
          <w:lang w:val="en-US" w:eastAsia="zh-CN"/>
        </w:rPr>
      </w:pPr>
      <w:r>
        <w:rPr>
          <w:rFonts w:hint="eastAsia" w:ascii="黑体" w:hAnsi="黑体" w:eastAsia="黑体" w:cs="Times New Roman"/>
          <w:sz w:val="32"/>
          <w:szCs w:val="32"/>
          <w:lang w:eastAsia="zh-CN"/>
        </w:rPr>
        <w:t>附件</w:t>
      </w:r>
    </w:p>
    <w:tbl>
      <w:tblPr>
        <w:tblStyle w:val="8"/>
        <w:tblW w:w="15068" w:type="dxa"/>
        <w:jc w:val="center"/>
        <w:shd w:val="clear" w:color="auto" w:fill="auto"/>
        <w:tblLayout w:type="fixed"/>
        <w:tblCellMar>
          <w:top w:w="0" w:type="dxa"/>
          <w:left w:w="0" w:type="dxa"/>
          <w:bottom w:w="0" w:type="dxa"/>
          <w:right w:w="0" w:type="dxa"/>
        </w:tblCellMar>
      </w:tblPr>
      <w:tblGrid>
        <w:gridCol w:w="387"/>
        <w:gridCol w:w="2760"/>
        <w:gridCol w:w="1440"/>
        <w:gridCol w:w="2328"/>
        <w:gridCol w:w="2022"/>
        <w:gridCol w:w="1875"/>
        <w:gridCol w:w="4256"/>
      </w:tblGrid>
      <w:tr>
        <w:tblPrEx>
          <w:shd w:val="clear" w:color="auto" w:fill="auto"/>
          <w:tblCellMar>
            <w:top w:w="0" w:type="dxa"/>
            <w:left w:w="0" w:type="dxa"/>
            <w:bottom w:w="0" w:type="dxa"/>
            <w:right w:w="0" w:type="dxa"/>
          </w:tblCellMar>
        </w:tblPrEx>
        <w:trPr>
          <w:trHeight w:val="525" w:hRule="atLeast"/>
          <w:jc w:val="center"/>
        </w:trPr>
        <w:tc>
          <w:tcPr>
            <w:tcW w:w="15068"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500" w:right="0" w:rightChars="0"/>
              <w:jc w:val="center"/>
              <w:textAlignment w:val="auto"/>
              <w:outlineLvl w:val="9"/>
              <w:rPr>
                <w:rFonts w:hint="eastAsia" w:ascii="方正小标宋简体" w:hAnsi="方正小标宋简体" w:eastAsia="方正小标宋简体" w:cs="方正小标宋简体"/>
                <w:i w:val="0"/>
                <w:color w:val="000000"/>
                <w:sz w:val="40"/>
                <w:szCs w:val="40"/>
                <w:u w:val="none"/>
                <w:lang w:val="en-US" w:eastAsia="zh-CN"/>
              </w:rPr>
            </w:pPr>
            <w:r>
              <w:rPr>
                <w:rFonts w:hint="eastAsia" w:ascii="方正小标宋简体" w:hAnsi="方正小标宋简体" w:eastAsia="方正小标宋简体" w:cs="方正小标宋简体"/>
                <w:sz w:val="44"/>
                <w:szCs w:val="44"/>
                <w:lang w:val="en-US" w:eastAsia="zh-CN"/>
              </w:rPr>
              <w:t>莆田市应急管理局2022年普法责任清单</w:t>
            </w:r>
          </w:p>
        </w:tc>
      </w:tr>
      <w:tr>
        <w:tblPrEx>
          <w:shd w:val="clear" w:color="auto" w:fill="auto"/>
          <w:tblCellMar>
            <w:top w:w="0" w:type="dxa"/>
            <w:left w:w="0" w:type="dxa"/>
            <w:bottom w:w="0" w:type="dxa"/>
            <w:right w:w="0" w:type="dxa"/>
          </w:tblCellMar>
        </w:tblPrEx>
        <w:trPr>
          <w:trHeight w:val="81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普法内容</w:t>
            </w:r>
          </w:p>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（普及的法律法规）</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普法责任</w:t>
            </w:r>
          </w:p>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主体</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普法对象</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载体阵地</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普法方式</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普法节点</w:t>
            </w:r>
          </w:p>
        </w:tc>
      </w:tr>
      <w:tr>
        <w:tblPrEx>
          <w:shd w:val="clear" w:color="auto" w:fill="auto"/>
          <w:tblCellMar>
            <w:top w:w="0" w:type="dxa"/>
            <w:left w:w="0" w:type="dxa"/>
            <w:bottom w:w="0" w:type="dxa"/>
            <w:right w:w="0" w:type="dxa"/>
          </w:tblCellMar>
        </w:tblPrEx>
        <w:trPr>
          <w:trHeight w:val="184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《中华人民共和国宪法》</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法规科牵头，各科室（单位）分工负责。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微信、微博、网站、宣传册等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发放宣传材料、开展专题学习、知识竞赛等</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1.集中宣传：6月份安全生产月、6月16日“安全生产宣传咨询日”“12.·4宪法宣传日”等活动集中进行宣传；</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2.主题学习：开展“学习宪法 法律进机关”主题宣传活动，利用党组会、中心组学习、党员大会和全体职工大会等形式传达学习。</w:t>
            </w:r>
          </w:p>
        </w:tc>
      </w:tr>
      <w:tr>
        <w:tblPrEx>
          <w:shd w:val="clear" w:color="auto" w:fill="auto"/>
          <w:tblCellMar>
            <w:top w:w="0" w:type="dxa"/>
            <w:left w:w="0" w:type="dxa"/>
            <w:bottom w:w="0" w:type="dxa"/>
            <w:right w:w="0" w:type="dxa"/>
          </w:tblCellMar>
        </w:tblPrEx>
        <w:trPr>
          <w:trHeight w:val="9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《中华人民共和国安全生产法》</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法规科牵头，各科室（单位）分工负责。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both"/>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2.重点企业；</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微信、微博、网站、宣传册等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发放宣传材料、专题讲座、知识竞赛、应急演练、线上问答等</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1.集中宣传：6月份安全生产月、6月16日“安全生产宣传咨询日”“安康杯”知识竞赛、12月《安全生产法》宣传周等活动集中进行宣传；</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2.专家讲座：通过邀请法律顾问、相关专家开设讲座或业务培训班等形式，至少组织1场专题培训，进行宣传；</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3.执法、服务过程中宣传：在执法及服务过程中对生产经营单位职工现场讲解相关法律法规。</w:t>
            </w:r>
          </w:p>
        </w:tc>
      </w:tr>
      <w:tr>
        <w:tblPrEx>
          <w:shd w:val="clear" w:color="auto" w:fill="auto"/>
          <w:tblCellMar>
            <w:top w:w="0" w:type="dxa"/>
            <w:left w:w="0" w:type="dxa"/>
            <w:bottom w:w="0" w:type="dxa"/>
            <w:right w:w="0" w:type="dxa"/>
          </w:tblCellMar>
        </w:tblPrEx>
        <w:trPr>
          <w:trHeight w:val="144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《中华人民共和国突发事件应对法》</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救援科牵头，各科室（单位）分工负责。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微信、微博、网站、宣传册等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发放宣传材料、集中学习等</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集中宣传：“5.12”防灾减灾日、6月份安全生产月、6月16日“安全生产宣传咨询日”“12·4宪法宣传日”等活动集中进行宣传。</w:t>
            </w:r>
          </w:p>
        </w:tc>
      </w:tr>
      <w:tr>
        <w:tblPrEx>
          <w:shd w:val="clear" w:color="auto" w:fill="auto"/>
          <w:tblCellMar>
            <w:top w:w="0" w:type="dxa"/>
            <w:left w:w="0" w:type="dxa"/>
            <w:bottom w:w="0" w:type="dxa"/>
            <w:right w:w="0" w:type="dxa"/>
          </w:tblCellMar>
        </w:tblPrEx>
        <w:trPr>
          <w:trHeight w:val="184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r>
              <w:rPr>
                <w:rFonts w:ascii="Arial" w:hAnsi="Arial" w:eastAsia="宋体" w:cs="Arial"/>
                <w:i w:val="0"/>
                <w:caps w:val="0"/>
                <w:color w:val="333333"/>
                <w:spacing w:val="0"/>
                <w:sz w:val="19"/>
                <w:szCs w:val="19"/>
                <w:shd w:val="clear" w:fill="FFFFFF"/>
              </w:rPr>
              <w:t>中华人民共和国</w:t>
            </w:r>
            <w:r>
              <w:rPr>
                <w:rFonts w:hint="eastAsia" w:ascii="宋体" w:hAnsi="宋体" w:eastAsia="宋体" w:cs="宋体"/>
                <w:i w:val="0"/>
                <w:color w:val="000000"/>
                <w:kern w:val="0"/>
                <w:sz w:val="20"/>
                <w:szCs w:val="20"/>
                <w:u w:val="none"/>
                <w:lang w:val="en-US" w:eastAsia="zh-CN" w:bidi="ar"/>
              </w:rPr>
              <w:t>防震</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减灾法》</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救援科牵头，各科室（单位）分工负责。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微信、微博、网站、宣传册等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发放宣传材料、集中学习等</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集中宣传：“5.12”防灾减灾日、6月份安全生产月、6月16日“安全生产宣传咨询日”“12·4宪法宣传日”等活动集中进行宣传。</w:t>
            </w:r>
          </w:p>
        </w:tc>
      </w:tr>
      <w:tr>
        <w:tblPrEx>
          <w:shd w:val="clear" w:color="auto" w:fill="auto"/>
          <w:tblCellMar>
            <w:top w:w="0" w:type="dxa"/>
            <w:left w:w="0" w:type="dxa"/>
            <w:bottom w:w="0" w:type="dxa"/>
            <w:right w:w="0" w:type="dxa"/>
          </w:tblCellMar>
        </w:tblPrEx>
        <w:trPr>
          <w:trHeight w:val="184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《福建省安全生产条例》</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法规科牵头，各科室（单位）分工负责。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both"/>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2.重点企业；</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微信、微博、网站、宣传册等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发放宣传材料、专题讲座、知识竞赛等</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1.集中宣传：6月份安全生产月、6月16日“安全生产宣传咨询日”“12·4宪法宣传日”等活动集中进行宣传；</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2.执法、服务过程中宣传：在执法及服务过程中对生产经营单位职工现场讲解相关法律法规。</w:t>
            </w:r>
          </w:p>
        </w:tc>
      </w:tr>
      <w:tr>
        <w:tblPrEx>
          <w:shd w:val="clear" w:color="auto" w:fill="auto"/>
          <w:tblCellMar>
            <w:top w:w="0" w:type="dxa"/>
            <w:left w:w="0" w:type="dxa"/>
            <w:bottom w:w="0" w:type="dxa"/>
            <w:right w:w="0" w:type="dxa"/>
          </w:tblCellMar>
        </w:tblPrEx>
        <w:trPr>
          <w:trHeight w:val="94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《危险化学品安全管理条例》</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危化科牵头，各科室（单位）分工负责。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both"/>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2.重点企业；</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微信、微博、网站、宣传册等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发放宣传材料、专题讲座、线上问答等</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1.集中宣传：6月份安全生产月、6月16日“安全生产宣传咨询日”“12·4宪法宣传日”等活动集中进行宣传；</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2.专家讲座：通过邀请法律顾问、相关专家开设讲座或业务培训班等形式，至少组织1场针对企业与监管人员的专题培训；</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3.执法、服务过程中宣传：在执法及服务过程中对生产经营单位职工现场讲解相关法律法规。</w:t>
            </w:r>
          </w:p>
        </w:tc>
      </w:tr>
      <w:tr>
        <w:tblPrEx>
          <w:shd w:val="clear" w:color="auto" w:fill="auto"/>
          <w:tblCellMar>
            <w:top w:w="0" w:type="dxa"/>
            <w:left w:w="0" w:type="dxa"/>
            <w:bottom w:w="0" w:type="dxa"/>
            <w:right w:w="0" w:type="dxa"/>
          </w:tblCellMar>
        </w:tblPrEx>
        <w:trPr>
          <w:trHeight w:val="1909"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《危险化学品重大危险源管理暂行规定》</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危化科牵头，各科室（单位）分工负责。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both"/>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2.重点企业；</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微信、微博、网站、宣传册等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发放宣传材料、专题讲座、线上问答等</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1.集中宣传：6月份安全生产月、6月16日“安全生产宣传咨询日”“12·4宪法宣传日”等活动集中进行宣传；</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2.执法过程中宣传：在执法及服务过程中对生产经营单位职工现场讲解相关法律法规。</w:t>
            </w:r>
          </w:p>
        </w:tc>
      </w:tr>
      <w:tr>
        <w:tblPrEx>
          <w:shd w:val="clear" w:color="auto" w:fill="auto"/>
          <w:tblCellMar>
            <w:top w:w="0" w:type="dxa"/>
            <w:left w:w="0" w:type="dxa"/>
            <w:bottom w:w="0" w:type="dxa"/>
            <w:right w:w="0" w:type="dxa"/>
          </w:tblCellMar>
        </w:tblPrEx>
        <w:trPr>
          <w:trHeight w:val="163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《烟花爆竹安全管理条例》</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危化科牵头，各科室（单位）分工负责。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both"/>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2.重点企业；</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微信、微博、网站、宣传册等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发放宣传材料、专题讲座</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1.集中宣传：6月份安全生产月、6月16日“安全生产宣传咨询日”“12·4宪法宣传日”等活动集中进行宣传；</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2.执法、服务过程中宣传：在执法及服务过程中对生产经营单位职工现场讲解相关法律法规。</w:t>
            </w:r>
          </w:p>
        </w:tc>
      </w:tr>
      <w:tr>
        <w:tblPrEx>
          <w:shd w:val="clear" w:color="auto" w:fill="auto"/>
          <w:tblCellMar>
            <w:top w:w="0" w:type="dxa"/>
            <w:left w:w="0" w:type="dxa"/>
            <w:bottom w:w="0" w:type="dxa"/>
            <w:right w:w="0" w:type="dxa"/>
          </w:tblCellMar>
        </w:tblPrEx>
        <w:trPr>
          <w:trHeight w:val="2015"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《安全生产许可证条例》</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法规科牵头，各科室（单位）分工负责。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both"/>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2.重点企业；</w:t>
            </w:r>
          </w:p>
          <w:p>
            <w:pPr>
              <w:keepNext w:val="0"/>
              <w:keepLines w:val="0"/>
              <w:widowControl/>
              <w:suppressLineNumbers w:val="0"/>
              <w:jc w:val="both"/>
              <w:textAlignment w:val="center"/>
              <w:rPr>
                <w:rFonts w:hint="eastAsia" w:ascii="宋体" w:hAnsi="宋体" w:eastAsia="宋体" w:cs="宋体"/>
                <w:i w:val="0"/>
                <w:color w:val="000000"/>
                <w:sz w:val="20"/>
                <w:szCs w:val="20"/>
                <w:u w:val="none"/>
              </w:rPr>
            </w:pP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微信、微博、网站、宣传册</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考试培训</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通过线上考试培训的形式至少组织1场针对应急管理系统行政审批人员的专题业务培训。</w:t>
            </w:r>
          </w:p>
        </w:tc>
      </w:tr>
      <w:tr>
        <w:tblPrEx>
          <w:shd w:val="clear" w:color="auto" w:fill="auto"/>
          <w:tblCellMar>
            <w:top w:w="0" w:type="dxa"/>
            <w:left w:w="0" w:type="dxa"/>
            <w:bottom w:w="0" w:type="dxa"/>
            <w:right w:w="0" w:type="dxa"/>
          </w:tblCellMar>
        </w:tblPrEx>
        <w:trPr>
          <w:trHeight w:val="162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10</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《生产安全事故报告和调查处理条例》</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救援科牵头，各科室（单位）分工负责。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both"/>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2.重点企业；</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发放宣传材料、专题讲座、应急演练、考试培训</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1.集中宣传：6月份安全生产月、6月16日“安全生产宣传咨询日”“12·4宪法宣传日”等活动集中进行宣传；</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2.专家讲座：通过邀请法律顾问、相关专家至少组织1场针对应急管理系统监管执法人员的专题业务培训。</w:t>
            </w:r>
          </w:p>
        </w:tc>
      </w:tr>
      <w:tr>
        <w:tblPrEx>
          <w:shd w:val="clear" w:color="auto" w:fill="auto"/>
          <w:tblCellMar>
            <w:top w:w="0" w:type="dxa"/>
            <w:left w:w="0" w:type="dxa"/>
            <w:bottom w:w="0" w:type="dxa"/>
            <w:right w:w="0" w:type="dxa"/>
          </w:tblCellMar>
        </w:tblPrEx>
        <w:trPr>
          <w:trHeight w:val="132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《安全生产违法行为行政处罚办法》</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执法支队牵头，各科室（单位）分工负责。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机关工作人员</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执法业务培训</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执法业务培训：2022年下半年，通过邀请法律顾问、相关专家集中组织至少1场针对应急管理系统监管执法人员的专题业务培训。</w:t>
            </w:r>
          </w:p>
        </w:tc>
      </w:tr>
      <w:tr>
        <w:tblPrEx>
          <w:shd w:val="clear" w:color="auto" w:fill="auto"/>
          <w:tblCellMar>
            <w:top w:w="0" w:type="dxa"/>
            <w:left w:w="0" w:type="dxa"/>
            <w:bottom w:w="0" w:type="dxa"/>
            <w:right w:w="0" w:type="dxa"/>
          </w:tblCellMar>
        </w:tblPrEx>
        <w:trPr>
          <w:trHeight w:val="145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《安全生产事故隐患排查治理暂行规定》</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执法支队牵头，各科室（单位）分工负责。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机关工作人员</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执法业务培训</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执法业务培训：2022年下半年，通过邀请法律顾问、相关专家集中组织至少1场针对应急管理系统监管执法人员的专题业务培训。</w:t>
            </w:r>
          </w:p>
        </w:tc>
      </w:tr>
      <w:tr>
        <w:tblPrEx>
          <w:shd w:val="clear" w:color="auto" w:fill="auto"/>
          <w:tblCellMar>
            <w:top w:w="0" w:type="dxa"/>
            <w:left w:w="0" w:type="dxa"/>
            <w:bottom w:w="0" w:type="dxa"/>
            <w:right w:w="0" w:type="dxa"/>
          </w:tblCellMar>
        </w:tblPrEx>
        <w:trPr>
          <w:trHeight w:val="125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《安全生产监管执法监督管理办法》</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执法支队牵头，各科室（单位）分工负责。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机关工作人员</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执法业务培训</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执法业务培训：2022年下半年，通过邀请法律顾问、相关专家集中组织至少1场针对应急管理系统监管执法人员的专题业务培训。</w:t>
            </w:r>
          </w:p>
        </w:tc>
      </w:tr>
      <w:tr>
        <w:tblPrEx>
          <w:shd w:val="clear" w:color="auto" w:fill="auto"/>
          <w:tblCellMar>
            <w:top w:w="0" w:type="dxa"/>
            <w:left w:w="0" w:type="dxa"/>
            <w:bottom w:w="0" w:type="dxa"/>
            <w:right w:w="0" w:type="dxa"/>
          </w:tblCellMar>
        </w:tblPrEx>
        <w:trPr>
          <w:trHeight w:val="114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69" w:beforeLines="15" w:beforeAutospacing="0" w:after="69" w:afterLines="15" w:afterAutospacing="0"/>
              <w:ind w:left="42" w:leftChars="20" w:right="42" w:rightChars="20"/>
              <w:jc w:val="center"/>
              <w:textAlignment w:val="auto"/>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69" w:beforeLines="15" w:beforeAutospacing="0" w:after="69" w:afterLines="15" w:afterAutospacing="0"/>
              <w:ind w:left="42" w:leftChars="20" w:right="42" w:rightChars="2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《自然灾害救助条例》</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财保科牵头，各科室（单位）分工负责。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微信、微博、网站、宣传册等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发放宣传材料、网上专题宣传</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1.集中宣传：“5.12”防灾减灾日；</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2.服务过程中宣传：在服务过程中对受灾群众或有需要的群众讲解相关法律法规。</w:t>
            </w:r>
          </w:p>
        </w:tc>
      </w:tr>
      <w:tr>
        <w:tblPrEx>
          <w:shd w:val="clear" w:color="auto" w:fill="auto"/>
          <w:tblCellMar>
            <w:top w:w="0" w:type="dxa"/>
            <w:left w:w="0" w:type="dxa"/>
            <w:bottom w:w="0" w:type="dxa"/>
            <w:right w:w="0" w:type="dxa"/>
          </w:tblCellMar>
        </w:tblPrEx>
        <w:trPr>
          <w:trHeight w:val="178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69" w:beforeLines="15" w:beforeAutospacing="0" w:after="69" w:afterLines="15" w:afterAutospacing="0"/>
              <w:ind w:left="42" w:leftChars="20" w:right="42" w:rightChars="20"/>
              <w:jc w:val="center"/>
              <w:textAlignment w:val="auto"/>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69" w:beforeLines="15" w:beforeAutospacing="0" w:after="69" w:afterLines="15" w:afterAutospacing="0"/>
              <w:ind w:left="42" w:leftChars="20" w:right="42" w:rightChars="20"/>
              <w:jc w:val="center"/>
              <w:textAlignment w:val="auto"/>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国家安全相关法律法规</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法规科牵头，各科室（单位）分工负责。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微信、微博、网站、宣传册等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发放宣传材料、网上专题宣传</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集中宣传：国家安全教育日，“5.12”防灾减灾日、6月份安全生产月、6月16日“安全生产宣传咨询日”“12·4宪法宣传日”等活动集中进行宣传。</w:t>
            </w:r>
          </w:p>
        </w:tc>
      </w:tr>
      <w:tr>
        <w:tblPrEx>
          <w:shd w:val="clear" w:color="auto" w:fill="auto"/>
          <w:tblCellMar>
            <w:top w:w="0" w:type="dxa"/>
            <w:left w:w="0" w:type="dxa"/>
            <w:bottom w:w="0" w:type="dxa"/>
            <w:right w:w="0" w:type="dxa"/>
          </w:tblCellMar>
        </w:tblPrEx>
        <w:trPr>
          <w:trHeight w:val="178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69" w:beforeLines="15" w:beforeAutospacing="0" w:after="69" w:afterLines="15" w:afterAutospacing="0"/>
              <w:ind w:left="42" w:leftChars="20" w:right="42" w:rightChars="20"/>
              <w:jc w:val="center"/>
              <w:textAlignment w:val="auto"/>
              <w:rPr>
                <w:rFonts w:hint="default" w:ascii="宋体" w:hAnsi="宋体" w:eastAsia="宋体" w:cs="宋体"/>
                <w:color w:val="000000"/>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15</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69" w:beforeLines="15" w:beforeAutospacing="0" w:after="69" w:afterLines="15" w:afterAutospacing="0"/>
              <w:ind w:left="42" w:leftChars="20" w:right="42" w:rightChars="20"/>
              <w:jc w:val="center"/>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i w:val="0"/>
                <w:color w:val="000000"/>
                <w:kern w:val="0"/>
                <w:sz w:val="20"/>
                <w:szCs w:val="20"/>
                <w:u w:val="none"/>
                <w:lang w:val="en-US" w:eastAsia="zh-CN" w:bidi="ar"/>
              </w:rPr>
              <w:t>疫情防控重点法律法规</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办公室牵头，各科室（单位）分工负责。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微信、微博、网站、宣传册等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发放宣传材料、网上专题宣传</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1.日常工作：提醒机关工作人员做好自我防护，加强对疫情防控重点法律法规学习，不定期推送疫情防控小知识；</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2.在执法及服务过程中对生产经营单位职工现场指导企业做好疫情防护与复工复产工作，讲解相关法律法规。</w:t>
            </w:r>
          </w:p>
        </w:tc>
      </w:tr>
      <w:tr>
        <w:tblPrEx>
          <w:tblCellMar>
            <w:top w:w="0" w:type="dxa"/>
            <w:left w:w="0" w:type="dxa"/>
            <w:bottom w:w="0" w:type="dxa"/>
            <w:right w:w="0" w:type="dxa"/>
          </w:tblCellMar>
        </w:tblPrEx>
        <w:trPr>
          <w:trHeight w:val="153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16</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党内法律法规</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党办牵头，各科室（单位）分工负责。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微信、微博、网站、宣传册等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发放宣传材料、网上专题宣传、专题讲座</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主题学习：开展党内法规主题宣传活动，利用党组会、中心组学习、党员大会和全体职工大会等形式传达学习。</w:t>
            </w:r>
          </w:p>
        </w:tc>
      </w:tr>
      <w:tr>
        <w:tblPrEx>
          <w:tblCellMar>
            <w:top w:w="0" w:type="dxa"/>
            <w:left w:w="0" w:type="dxa"/>
            <w:bottom w:w="0" w:type="dxa"/>
            <w:right w:w="0" w:type="dxa"/>
          </w:tblCellMar>
        </w:tblPrEx>
        <w:trPr>
          <w:trHeight w:val="178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17</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其他应急管理、安全生产、防灾减灾救灾法规与规章制度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各科室（单位）分工负责。</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1.机关工作人员；</w:t>
            </w:r>
          </w:p>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2.社会大众。</w:t>
            </w:r>
          </w:p>
        </w:tc>
        <w:tc>
          <w:tcPr>
            <w:tcW w:w="20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网站、宣传册等</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发放宣传材料、专题讲座</w:t>
            </w:r>
          </w:p>
        </w:tc>
        <w:tc>
          <w:tcPr>
            <w:tcW w:w="4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1.集中宣传：6月份安全生产月、6月16日“安全生产宣传咨询日”“12·4宪法宣传日”等活动集中进行宣传；</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2.专家讲座：通过邀请法律顾问、相关专家开设讲座或业务培训班等形式，不定期组织开展专题培训，进行宣传；</w:t>
            </w:r>
          </w:p>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3.执法、服务过程中宣传：在执法及服务过程中对生产经营单位职工现场讲解相关法律法规。</w:t>
            </w:r>
          </w:p>
        </w:tc>
      </w:tr>
    </w:tbl>
    <w:p>
      <w:pPr>
        <w:spacing w:line="560" w:lineRule="exact"/>
        <w:rPr>
          <w:rFonts w:hint="default" w:ascii="黑体" w:hAnsi="黑体" w:eastAsia="黑体" w:cs="Times New Roman"/>
          <w:sz w:val="32"/>
          <w:szCs w:val="32"/>
          <w:lang w:val="en-US" w:eastAsia="zh-CN"/>
        </w:rPr>
        <w:sectPr>
          <w:pgSz w:w="16838" w:h="11906" w:orient="landscape"/>
          <w:pgMar w:top="1800" w:right="1440" w:bottom="1505" w:left="1440" w:header="851" w:footer="992" w:gutter="0"/>
          <w:pgNumType w:fmt="numberInDash"/>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right="1368"/>
        <w:jc w:val="both"/>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sectPr>
          <w:footerReference r:id="rId4" w:type="default"/>
          <w:pgSz w:w="11906" w:h="16838"/>
          <w:pgMar w:top="1440" w:right="1800" w:bottom="1440" w:left="1800" w:header="851" w:footer="992" w:gutter="0"/>
          <w:pgNumType w:fmt="numberInDash"/>
          <w:cols w:space="425" w:num="1"/>
          <w:docGrid w:type="lines" w:linePitch="312" w:charSpace="0"/>
        </w:sectPr>
      </w:pPr>
    </w:p>
    <w:p>
      <w:pPr>
        <w:rPr>
          <w:rFonts w:hint="eastAsia"/>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jc w:val="both"/>
        <w:rPr>
          <w:rFonts w:hint="eastAsia"/>
        </w:rPr>
      </w:pPr>
    </w:p>
    <w:p>
      <w:pPr>
        <w:keepNext w:val="0"/>
        <w:keepLines w:val="0"/>
        <w:pageBreakBefore w:val="0"/>
        <w:kinsoku/>
        <w:wordWrap/>
        <w:overflowPunct/>
        <w:topLinePunct w:val="0"/>
        <w:autoSpaceDE/>
        <w:autoSpaceDN/>
        <w:bidi w:val="0"/>
        <w:adjustRightInd/>
        <w:snapToGri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right="1368"/>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560" w:lineRule="exact"/>
        <w:ind w:right="1368"/>
        <w:jc w:val="both"/>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kinsoku/>
        <w:wordWrap/>
        <w:overflowPunct/>
        <w:topLinePunct w:val="0"/>
        <w:autoSpaceDE/>
        <w:autoSpaceDN/>
        <w:bidi w:val="0"/>
        <w:adjustRightInd/>
        <w:spacing w:line="560" w:lineRule="exact"/>
        <w:ind w:right="1368"/>
        <w:jc w:val="both"/>
        <w:textAlignment w:val="auto"/>
        <w:rPr>
          <w:rFonts w:hint="eastAsia" w:ascii="黑体" w:hAnsi="宋体" w:eastAsia="黑体"/>
        </w:rPr>
      </w:pPr>
      <w:r>
        <w:rPr>
          <w:rFonts w:hint="eastAsia" w:ascii="仿宋_GB2312" w:hAnsi="仿宋_GB2312" w:eastAsia="仿宋_GB2312" w:cs="仿宋_GB2312"/>
          <w:sz w:val="32"/>
          <w:szCs w:val="32"/>
        </w:rPr>
        <w:t>　</w: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363220</wp:posOffset>
                </wp:positionV>
                <wp:extent cx="546735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4673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6pt;height:0pt;width:430.5pt;z-index:251661312;mso-width-relative:page;mso-height-relative:page;" filled="f" stroked="t" coordsize="21600,21600" o:gfxdata="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9MiN0wAAAAYBAAAPAAAAAAAAAAEAIAAAACIAAABkcnMvZG93bnJldi54bWxQSwECFAAU&#10;AAAACACHTuJA/q3u3fYBAADkAwAADgAAAAAAAAABACAAAAAiAQAAZHJzL2Uyb0RvYy54bWxQSwUG&#10;AAAAAAYABgBZAQAAigUAAAAA&#10;">
                <v:fill on="f" focussize="0,0"/>
                <v:stroke color="#000000" joinstyle="round"/>
                <v:imagedata o:title=""/>
                <o:lock v:ext="edit" aspectratio="f"/>
              </v:line>
            </w:pict>
          </mc:Fallback>
        </mc:AlternateContent>
      </w:r>
    </w:p>
    <w:p>
      <w:pPr>
        <w:keepNext w:val="0"/>
        <w:keepLines w:val="0"/>
        <w:pageBreakBefore w:val="0"/>
        <w:tabs>
          <w:tab w:val="center" w:pos="4396"/>
        </w:tabs>
        <w:kinsoku/>
        <w:wordWrap/>
        <w:overflowPunct/>
        <w:topLinePunct w:val="0"/>
        <w:autoSpaceDE/>
        <w:autoSpaceDN/>
        <w:bidi w:val="0"/>
        <w:adjustRightInd/>
        <w:spacing w:line="560" w:lineRule="exact"/>
        <w:ind w:firstLine="280" w:firstLineChars="100"/>
        <w:textAlignment w:val="auto"/>
        <w:rPr>
          <w:rFonts w:hint="eastAsia" w:ascii="仿宋_GB2312" w:eastAsia="仿宋_GB2312"/>
          <w:sz w:val="28"/>
          <w:szCs w:val="28"/>
          <w:lang w:eastAsia="zh-CN"/>
        </w:rPr>
      </w:pPr>
      <w:r>
        <w:rPr>
          <w:rFonts w:hint="eastAsia" w:ascii="仿宋_GB2312" w:eastAsia="仿宋_GB2312"/>
          <w:sz w:val="28"/>
          <w:szCs w:val="28"/>
        </w:rPr>
        <w:t>抄送：市委</w:t>
      </w:r>
      <w:r>
        <w:rPr>
          <w:rFonts w:hint="default" w:ascii="仿宋_GB2312" w:eastAsia="仿宋_GB2312"/>
          <w:sz w:val="28"/>
          <w:szCs w:val="28"/>
        </w:rPr>
        <w:t>全面依法治市委员会</w:t>
      </w:r>
      <w:r>
        <w:rPr>
          <w:rFonts w:hint="eastAsia" w:ascii="仿宋_GB2312" w:eastAsia="仿宋_GB2312"/>
          <w:sz w:val="28"/>
          <w:szCs w:val="28"/>
          <w:lang w:eastAsia="zh-CN"/>
        </w:rPr>
        <w:t>。</w:t>
      </w:r>
    </w:p>
    <w:p>
      <w:pPr>
        <w:keepNext w:val="0"/>
        <w:keepLines w:val="0"/>
        <w:pageBreakBefore w:val="0"/>
        <w:tabs>
          <w:tab w:val="center" w:pos="4396"/>
        </w:tabs>
        <w:kinsoku/>
        <w:wordWrap/>
        <w:overflowPunct/>
        <w:topLinePunct w:val="0"/>
        <w:autoSpaceDE/>
        <w:autoSpaceDN/>
        <w:bidi w:val="0"/>
        <w:adjustRightInd/>
        <w:spacing w:line="560" w:lineRule="exact"/>
        <w:ind w:firstLine="280" w:firstLineChars="100"/>
        <w:textAlignment w:val="auto"/>
        <w:rPr>
          <w:rFonts w:hint="eastAsia"/>
          <w:lang w:val="en-US" w:eastAsia="zh-CN"/>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427990</wp:posOffset>
                </wp:positionV>
                <wp:extent cx="54673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4673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3.7pt;height:0pt;width:430.5pt;z-index:251660288;mso-width-relative:page;mso-height-relative:page;" filled="f" stroked="t" coordsize="21600,21600" o:gfxdata="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WKIu/TAAAABgEAAA8AAAAAAAAAAQAgAAAAIgAAAGRycy9kb3ducmV2LnhtbFBLAQIUABQA&#10;AAAIAIdO4kDceyYH9QEAAOQDAAAOAAAAAAAAAAEAIAAAACIBAABkcnMvZTJvRG9jLnhtbFBLBQYA&#10;AAAABgAGAFkBAACJBQAAAAA=&#10;">
                <v:fill on="f" focussize="0,0"/>
                <v:stroke color="#000000" joinstyle="round"/>
                <v:imagedata o:title=""/>
                <o:lock v:ext="edit" aspectratio="f"/>
              </v:line>
            </w:pict>
          </mc:Fallback>
        </mc:AlternateContent>
      </w: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64770</wp:posOffset>
                </wp:positionV>
                <wp:extent cx="546735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4673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1pt;height:0pt;width:430.5pt;z-index:251659264;mso-width-relative:page;mso-height-relative:page;" filled="f" stroked="t" coordsize="21600,21600" o:gfxdata="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LC9xHSAAAABgEAAA8AAAAAAAAAAQAgAAAAIgAAAGRycy9kb3ducmV2LnhtbFBLAQIUABQA&#10;AAAIAIdO4kDvxoqw9gEAAOQDAAAOAAAAAAAAAAEAIAAAACEBAABkcnMvZTJvRG9jLnhtbFBLBQYA&#10;AAAABgAGAFkBAACJBQAAAAA=&#10;">
                <v:fill on="f" focussize="0,0"/>
                <v:stroke color="#000000" joinstyle="round"/>
                <v:imagedata o:title=""/>
                <o:lock v:ext="edit" aspectratio="f"/>
              </v:line>
            </w:pict>
          </mc:Fallback>
        </mc:AlternateContent>
      </w:r>
      <w:r>
        <w:rPr>
          <w:rFonts w:hint="eastAsia" w:ascii="仿宋_GB2312" w:eastAsia="仿宋_GB2312"/>
          <w:sz w:val="28"/>
          <w:szCs w:val="28"/>
        </w:rPr>
        <w:t>莆田市</w:t>
      </w:r>
      <w:r>
        <w:rPr>
          <w:rFonts w:hint="eastAsia" w:ascii="仿宋_GB2312" w:eastAsia="仿宋_GB2312"/>
          <w:sz w:val="28"/>
          <w:szCs w:val="28"/>
          <w:lang w:eastAsia="zh-CN"/>
        </w:rPr>
        <w:t>应急管理局办公室</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w:t>
      </w:r>
      <w:r>
        <w:rPr>
          <w:rFonts w:hint="eastAsia" w:ascii="仿宋_GB2312" w:eastAsia="仿宋_GB2312"/>
          <w:sz w:val="28"/>
          <w:szCs w:val="28"/>
          <w:lang w:val="en-US" w:eastAsia="zh-CN"/>
        </w:rPr>
        <w:t>22</w:t>
      </w:r>
      <w:r>
        <w:rPr>
          <w:rFonts w:hint="eastAsia" w:ascii="仿宋_GB2312" w:eastAsia="仿宋_GB2312"/>
          <w:sz w:val="28"/>
          <w:szCs w:val="28"/>
        </w:rPr>
        <w:t>年</w:t>
      </w:r>
      <w:r>
        <w:rPr>
          <w:rFonts w:hint="eastAsia" w:ascii="仿宋_GB2312" w:eastAsia="仿宋_GB2312"/>
          <w:sz w:val="28"/>
          <w:szCs w:val="28"/>
          <w:lang w:val="en-US" w:eastAsia="zh-CN"/>
        </w:rPr>
        <w:t>5</w:t>
      </w:r>
      <w:r>
        <w:rPr>
          <w:rFonts w:hint="eastAsia" w:ascii="仿宋_GB2312" w:eastAsia="仿宋_GB2312"/>
          <w:sz w:val="28"/>
          <w:szCs w:val="28"/>
        </w:rPr>
        <w:t>月</w:t>
      </w:r>
      <w:r>
        <w:rPr>
          <w:rFonts w:hint="eastAsia" w:ascii="仿宋_GB2312" w:eastAsia="仿宋_GB2312"/>
          <w:sz w:val="28"/>
          <w:szCs w:val="28"/>
          <w:lang w:val="en-US" w:eastAsia="zh-CN"/>
        </w:rPr>
        <w:t>13</w:t>
      </w:r>
      <w:r>
        <w:rPr>
          <w:rFonts w:hint="eastAsia" w:ascii="仿宋_GB2312" w:eastAsia="仿宋_GB2312"/>
          <w:sz w:val="28"/>
          <w:szCs w:val="28"/>
        </w:rPr>
        <w:t>日印发</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13958"/>
        <w:tab w:val="clear" w:pos="4153"/>
      </w:tabs>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- 1 -</w:t>
                          </w:r>
                          <w:r>
                            <w:rPr>
                              <w:rFonts w:hint="eastAsia" w:ascii="仿宋_GB2312" w:hAnsi="仿宋_GB2312" w:eastAsia="仿宋_GB2312" w:cs="仿宋_GB2312"/>
                              <w:sz w:val="32"/>
                              <w:szCs w:val="32"/>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- 1 -</w:t>
                    </w:r>
                    <w:r>
                      <w:rPr>
                        <w:rFonts w:hint="eastAsia" w:ascii="仿宋_GB2312" w:hAnsi="仿宋_GB2312" w:eastAsia="仿宋_GB2312" w:cs="仿宋_GB2312"/>
                        <w:sz w:val="32"/>
                        <w:szCs w:val="32"/>
                        <w:lang w:eastAsia="zh-CN"/>
                      </w:rPr>
                      <w:fldChar w:fldCharType="end"/>
                    </w:r>
                  </w:p>
                </w:txbxContent>
              </v:textbox>
            </v:shape>
          </w:pict>
        </mc:Fallback>
      </mc:AlternateContent>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13958"/>
        <w:tab w:val="clear" w:pos="4153"/>
      </w:tabs>
    </w:pPr>
    <w:r>
      <w:rPr>
        <w:rFonts w:hint="eastAsia"/>
        <w:lang w:eastAsia="zh-CN"/>
      </w:rPr>
      <w:tab/>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right" w:pos="13958"/>
        <w:tab w:val="clear" w:pos="4153"/>
      </w:tabs>
    </w:pPr>
    <w:r>
      <w:rPr>
        <w:rFonts w:hint="eastAsia"/>
        <w:lang w:eastAsia="zh-CN"/>
      </w:rPr>
      <w:tab/>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YjU5NzY5NzczOWIwZTVlNzc4NGNiZmE5YWY2MTkifQ=="/>
  </w:docVars>
  <w:rsids>
    <w:rsidRoot w:val="41922C6E"/>
    <w:rsid w:val="0D813C29"/>
    <w:rsid w:val="0F0049E1"/>
    <w:rsid w:val="120A3423"/>
    <w:rsid w:val="16930EEF"/>
    <w:rsid w:val="179845F3"/>
    <w:rsid w:val="1B17630A"/>
    <w:rsid w:val="1FAE3FDB"/>
    <w:rsid w:val="24115610"/>
    <w:rsid w:val="24D924AC"/>
    <w:rsid w:val="36CF060D"/>
    <w:rsid w:val="3F065D7A"/>
    <w:rsid w:val="41922C6E"/>
    <w:rsid w:val="4A551A9E"/>
    <w:rsid w:val="4CE80BBF"/>
    <w:rsid w:val="4E302654"/>
    <w:rsid w:val="52F864BC"/>
    <w:rsid w:val="54923198"/>
    <w:rsid w:val="579C1F06"/>
    <w:rsid w:val="5863053E"/>
    <w:rsid w:val="5B996227"/>
    <w:rsid w:val="5FC3423D"/>
    <w:rsid w:val="625A5441"/>
    <w:rsid w:val="70071D74"/>
    <w:rsid w:val="73973ACF"/>
    <w:rsid w:val="77783405"/>
    <w:rsid w:val="790E2DCA"/>
    <w:rsid w:val="794F7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0" w:firstLineChars="0"/>
      <w:jc w:val="center"/>
      <w:outlineLvl w:val="0"/>
    </w:pPr>
    <w:rPr>
      <w:rFonts w:eastAsia="方正小标宋简体"/>
      <w:kern w:val="44"/>
      <w:sz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kern w:val="0"/>
      <w:sz w:val="21"/>
      <w:szCs w:val="21"/>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200" w:firstLineChars="200"/>
    </w:pPr>
  </w:style>
  <w:style w:type="paragraph" w:styleId="5">
    <w:name w:val="footer"/>
    <w:basedOn w:val="1"/>
    <w:semiHidden/>
    <w:unhideWhenUsed/>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Emphasis"/>
    <w:basedOn w:val="9"/>
    <w:qFormat/>
    <w:uiPriority w:val="0"/>
  </w:style>
  <w:style w:type="character" w:styleId="13">
    <w:name w:val="Hyperlink"/>
    <w:basedOn w:val="9"/>
    <w:qFormat/>
    <w:uiPriority w:val="0"/>
    <w:rPr>
      <w:color w:val="333333"/>
      <w:u w:val="none"/>
    </w:rPr>
  </w:style>
  <w:style w:type="character" w:customStyle="1" w:styleId="14">
    <w:name w:val="样式 仿宋_GB23121"/>
    <w:qFormat/>
    <w:uiPriority w:val="0"/>
    <w:rPr>
      <w:rFonts w:ascii="仿宋_GB2312" w:hAnsi="仿宋_GB2312" w:eastAsia="仿宋_GB2312" w:cs="Times New Roman"/>
      <w:sz w:val="32"/>
    </w:rPr>
  </w:style>
  <w:style w:type="character" w:customStyle="1" w:styleId="15">
    <w:name w:val="icon04"/>
    <w:basedOn w:val="9"/>
    <w:qFormat/>
    <w:uiPriority w:val="0"/>
  </w:style>
  <w:style w:type="character" w:customStyle="1" w:styleId="16">
    <w:name w:val="icon05"/>
    <w:basedOn w:val="9"/>
    <w:qFormat/>
    <w:uiPriority w:val="0"/>
  </w:style>
  <w:style w:type="character" w:customStyle="1" w:styleId="17">
    <w:name w:val="icon06"/>
    <w:basedOn w:val="9"/>
    <w:qFormat/>
    <w:uiPriority w:val="0"/>
  </w:style>
  <w:style w:type="character" w:customStyle="1" w:styleId="18">
    <w:name w:val="icon03"/>
    <w:basedOn w:val="9"/>
    <w:qFormat/>
    <w:uiPriority w:val="0"/>
  </w:style>
  <w:style w:type="character" w:customStyle="1" w:styleId="19">
    <w:name w:val="icon01"/>
    <w:basedOn w:val="9"/>
    <w:qFormat/>
    <w:uiPriority w:val="0"/>
    <w:rPr>
      <w:color w:val="777777"/>
      <w:sz w:val="27"/>
      <w:szCs w:val="27"/>
    </w:rPr>
  </w:style>
  <w:style w:type="character" w:customStyle="1" w:styleId="20">
    <w:name w:val="icon011"/>
    <w:basedOn w:val="9"/>
    <w:qFormat/>
    <w:uiPriority w:val="0"/>
  </w:style>
  <w:style w:type="character" w:customStyle="1" w:styleId="21">
    <w:name w:val="icon02"/>
    <w:basedOn w:val="9"/>
    <w:qFormat/>
    <w:uiPriority w:val="0"/>
    <w:rPr>
      <w:color w:val="777777"/>
    </w:rPr>
  </w:style>
  <w:style w:type="character" w:customStyle="1" w:styleId="22">
    <w:name w:val="icon021"/>
    <w:basedOn w:val="9"/>
    <w:qFormat/>
    <w:uiPriority w:val="0"/>
  </w:style>
  <w:style w:type="character" w:customStyle="1" w:styleId="23">
    <w:name w:val="act"/>
    <w:basedOn w:val="9"/>
    <w:qFormat/>
    <w:uiPriority w:val="0"/>
    <w:rPr>
      <w:color w:val="FFFFFF"/>
      <w:shd w:val="clear" w:fill="C31606"/>
    </w:rPr>
  </w:style>
  <w:style w:type="character" w:customStyle="1" w:styleId="24">
    <w:name w:val="hover8"/>
    <w:basedOn w:val="9"/>
    <w:qFormat/>
    <w:uiPriority w:val="0"/>
    <w:rPr>
      <w:color w:val="FFFFFF"/>
      <w:shd w:val="clear" w:fill="C31606"/>
    </w:rPr>
  </w:style>
  <w:style w:type="character" w:customStyle="1" w:styleId="25">
    <w:name w:val="icon07"/>
    <w:basedOn w:val="9"/>
    <w:qFormat/>
    <w:uiPriority w:val="0"/>
  </w:style>
  <w:style w:type="character" w:customStyle="1" w:styleId="26">
    <w:name w:val="out"/>
    <w:basedOn w:val="9"/>
    <w:qFormat/>
    <w:uiPriority w:val="0"/>
  </w:style>
  <w:style w:type="character" w:customStyle="1" w:styleId="27">
    <w:name w:val="over"/>
    <w:basedOn w:val="9"/>
    <w:qFormat/>
    <w:uiPriority w:val="0"/>
    <w:rPr>
      <w:color w:val="FFFFFF"/>
    </w:rPr>
  </w:style>
  <w:style w:type="character" w:customStyle="1" w:styleId="28">
    <w:name w:val="over1"/>
    <w:basedOn w:val="9"/>
    <w:qFormat/>
    <w:uiPriority w:val="0"/>
  </w:style>
  <w:style w:type="character" w:customStyle="1" w:styleId="29">
    <w:name w:val="bg"/>
    <w:basedOn w:val="9"/>
    <w:qFormat/>
    <w:uiPriority w:val="0"/>
  </w:style>
  <w:style w:type="character" w:customStyle="1" w:styleId="30">
    <w:name w:val="bg1"/>
    <w:basedOn w:val="9"/>
    <w:qFormat/>
    <w:uiPriority w:val="0"/>
  </w:style>
  <w:style w:type="paragraph" w:customStyle="1" w:styleId="31">
    <w:name w:val="普通(网站)1"/>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6186</Words>
  <Characters>6376</Characters>
  <Lines>0</Lines>
  <Paragraphs>0</Paragraphs>
  <TotalTime>5</TotalTime>
  <ScaleCrop>false</ScaleCrop>
  <LinksUpToDate>false</LinksUpToDate>
  <CharactersWithSpaces>6412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2020-03-20T01:03:00Z</dcterms:created>
  <dc:creator>Administrator</dc:creator>
  <cp:lastModifiedBy>辉小一</cp:lastModifiedBy>
  <cp:lastPrinted>2022-05-12T00:15:00Z</cp:lastPrinted>
  <dcterms:modified xsi:type="dcterms:W3CDTF">2023-05-16T02:46:51Z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D76B17C735D443738DB5EBA91F58FCE2_13</vt:lpwstr>
  </property>
</Properties>
</file>